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0116C" w14:textId="49D6E423" w:rsidR="00127D0F" w:rsidRDefault="00127D0F" w:rsidP="0072127A">
      <w:pPr>
        <w:tabs>
          <w:tab w:val="left" w:pos="142"/>
        </w:tabs>
        <w:jc w:val="center"/>
        <w:rPr>
          <w:sz w:val="32"/>
          <w:szCs w:val="32"/>
          <w:lang w:val="en-US"/>
        </w:rPr>
      </w:pPr>
    </w:p>
    <w:p w14:paraId="0A9C6D76" w14:textId="77777777" w:rsidR="00507D24" w:rsidRDefault="00507D24" w:rsidP="0072127A">
      <w:pPr>
        <w:tabs>
          <w:tab w:val="left" w:pos="142"/>
        </w:tabs>
        <w:jc w:val="center"/>
        <w:rPr>
          <w:sz w:val="32"/>
          <w:szCs w:val="32"/>
          <w:lang w:val="en-US"/>
        </w:rPr>
      </w:pPr>
    </w:p>
    <w:p w14:paraId="19902C73" w14:textId="77777777" w:rsidR="00507D24" w:rsidRPr="00E745A4" w:rsidRDefault="00507D24" w:rsidP="0072127A">
      <w:pPr>
        <w:tabs>
          <w:tab w:val="left" w:pos="142"/>
        </w:tabs>
        <w:jc w:val="center"/>
        <w:rPr>
          <w:sz w:val="32"/>
          <w:szCs w:val="32"/>
          <w:lang w:val="en-US"/>
        </w:rPr>
      </w:pPr>
    </w:p>
    <w:p w14:paraId="63E961E8" w14:textId="77777777" w:rsidR="00127D0F" w:rsidRPr="00631EF6" w:rsidRDefault="00127D0F" w:rsidP="00127D0F">
      <w:pPr>
        <w:jc w:val="center"/>
        <w:rPr>
          <w:sz w:val="32"/>
          <w:szCs w:val="32"/>
        </w:rPr>
      </w:pPr>
    </w:p>
    <w:p w14:paraId="0B5DDCEC" w14:textId="77777777" w:rsidR="00127D0F" w:rsidRPr="00631EF6" w:rsidRDefault="00127D0F" w:rsidP="00127D0F">
      <w:pPr>
        <w:jc w:val="center"/>
        <w:rPr>
          <w:sz w:val="32"/>
          <w:szCs w:val="32"/>
        </w:rPr>
      </w:pPr>
    </w:p>
    <w:p w14:paraId="2AF102D5" w14:textId="77777777" w:rsidR="00127D0F" w:rsidRPr="005517FC" w:rsidRDefault="00127D0F" w:rsidP="00127D0F">
      <w:pPr>
        <w:jc w:val="center"/>
        <w:rPr>
          <w:sz w:val="32"/>
          <w:szCs w:val="32"/>
          <w:lang w:val="ru-RU"/>
        </w:rPr>
      </w:pPr>
    </w:p>
    <w:p w14:paraId="7B066896" w14:textId="77777777" w:rsidR="00127D0F" w:rsidRPr="00631EF6" w:rsidRDefault="00127D0F" w:rsidP="00127D0F">
      <w:pPr>
        <w:tabs>
          <w:tab w:val="left" w:pos="142"/>
        </w:tabs>
      </w:pPr>
    </w:p>
    <w:p w14:paraId="3FE74013" w14:textId="77777777" w:rsidR="00127D0F" w:rsidRPr="00631EF6" w:rsidRDefault="00127D0F" w:rsidP="00127D0F">
      <w:pPr>
        <w:tabs>
          <w:tab w:val="left" w:pos="142"/>
        </w:tabs>
      </w:pPr>
    </w:p>
    <w:p w14:paraId="2591DCDD" w14:textId="77777777" w:rsidR="00127D0F" w:rsidRPr="00631EF6" w:rsidRDefault="00127D0F" w:rsidP="00127D0F">
      <w:pPr>
        <w:tabs>
          <w:tab w:val="left" w:pos="142"/>
        </w:tabs>
      </w:pPr>
    </w:p>
    <w:p w14:paraId="67D2DA75" w14:textId="77777777" w:rsidR="00127D0F" w:rsidRPr="00631EF6" w:rsidRDefault="00127D0F" w:rsidP="00127D0F">
      <w:pPr>
        <w:tabs>
          <w:tab w:val="left" w:pos="142"/>
        </w:tabs>
      </w:pPr>
    </w:p>
    <w:p w14:paraId="1F13A1FB" w14:textId="77777777" w:rsidR="0072127A" w:rsidRPr="00631EF6" w:rsidRDefault="0072127A" w:rsidP="00127D0F">
      <w:pPr>
        <w:jc w:val="center"/>
        <w:rPr>
          <w:rFonts w:asciiTheme="minorHAnsi" w:hAnsiTheme="minorHAnsi" w:cstheme="minorHAnsi"/>
          <w:b/>
          <w:sz w:val="48"/>
        </w:rPr>
      </w:pPr>
    </w:p>
    <w:p w14:paraId="4F39EE1A" w14:textId="28D883B3" w:rsidR="001D4FB9" w:rsidRPr="00631EF6" w:rsidRDefault="00A2356C" w:rsidP="00127D0F">
      <w:pPr>
        <w:jc w:val="center"/>
        <w:rPr>
          <w:rFonts w:asciiTheme="minorHAnsi" w:hAnsiTheme="minorHAnsi" w:cstheme="minorHAnsi"/>
          <w:b/>
          <w:sz w:val="48"/>
        </w:rPr>
      </w:pPr>
      <w:r>
        <w:rPr>
          <w:rFonts w:asciiTheme="minorHAnsi" w:hAnsiTheme="minorHAnsi" w:cstheme="minorHAnsi"/>
          <w:b/>
          <w:sz w:val="48"/>
        </w:rPr>
        <w:t xml:space="preserve">ICAO </w:t>
      </w:r>
      <w:r w:rsidR="00BD2894">
        <w:rPr>
          <w:rFonts w:asciiTheme="minorHAnsi" w:hAnsiTheme="minorHAnsi" w:cstheme="minorHAnsi"/>
          <w:b/>
          <w:sz w:val="48"/>
        </w:rPr>
        <w:t>European</w:t>
      </w:r>
      <w:r w:rsidR="00127D0F" w:rsidRPr="00631EF6">
        <w:rPr>
          <w:rFonts w:asciiTheme="minorHAnsi" w:hAnsiTheme="minorHAnsi" w:cstheme="minorHAnsi"/>
          <w:b/>
          <w:sz w:val="48"/>
        </w:rPr>
        <w:t xml:space="preserve"> </w:t>
      </w:r>
    </w:p>
    <w:p w14:paraId="7C704611" w14:textId="77777777" w:rsidR="00127D0F" w:rsidRPr="00631EF6" w:rsidRDefault="00FC38B5" w:rsidP="00127D0F">
      <w:pPr>
        <w:jc w:val="center"/>
        <w:rPr>
          <w:rFonts w:asciiTheme="minorHAnsi" w:hAnsiTheme="minorHAnsi" w:cstheme="minorHAnsi"/>
          <w:b/>
          <w:sz w:val="48"/>
        </w:rPr>
      </w:pPr>
      <w:r w:rsidRPr="00631EF6">
        <w:rPr>
          <w:rFonts w:asciiTheme="minorHAnsi" w:hAnsiTheme="minorHAnsi" w:cstheme="minorHAnsi"/>
          <w:b/>
          <w:sz w:val="48"/>
        </w:rPr>
        <w:t xml:space="preserve">Regional </w:t>
      </w:r>
      <w:r w:rsidR="00127D0F" w:rsidRPr="00631EF6">
        <w:rPr>
          <w:rFonts w:asciiTheme="minorHAnsi" w:hAnsiTheme="minorHAnsi" w:cstheme="minorHAnsi"/>
          <w:b/>
          <w:sz w:val="48"/>
        </w:rPr>
        <w:t xml:space="preserve">Aviation Safety </w:t>
      </w:r>
      <w:r w:rsidR="00D95D99" w:rsidRPr="00631EF6">
        <w:rPr>
          <w:rFonts w:asciiTheme="minorHAnsi" w:hAnsiTheme="minorHAnsi" w:cstheme="minorHAnsi"/>
          <w:b/>
          <w:sz w:val="48"/>
        </w:rPr>
        <w:t>Plan</w:t>
      </w:r>
    </w:p>
    <w:p w14:paraId="7A3CE638" w14:textId="77777777" w:rsidR="00127D0F" w:rsidRPr="00631EF6" w:rsidRDefault="00127D0F" w:rsidP="00127D0F">
      <w:pPr>
        <w:jc w:val="center"/>
        <w:rPr>
          <w:sz w:val="32"/>
        </w:rPr>
      </w:pPr>
    </w:p>
    <w:p w14:paraId="0D58EFDA" w14:textId="7372ED19" w:rsidR="00127D0F" w:rsidRPr="00631EF6" w:rsidRDefault="007E0853" w:rsidP="00127D0F">
      <w:pPr>
        <w:jc w:val="center"/>
        <w:rPr>
          <w:rFonts w:asciiTheme="minorHAnsi" w:hAnsiTheme="minorHAnsi" w:cstheme="minorHAnsi"/>
          <w:b/>
          <w:sz w:val="48"/>
        </w:rPr>
      </w:pPr>
      <w:r>
        <w:rPr>
          <w:rFonts w:asciiTheme="minorHAnsi" w:hAnsiTheme="minorHAnsi" w:cstheme="minorHAnsi"/>
          <w:b/>
          <w:sz w:val="48"/>
        </w:rPr>
        <w:t>202</w:t>
      </w:r>
      <w:r w:rsidR="00555C58">
        <w:rPr>
          <w:rFonts w:asciiTheme="minorHAnsi" w:hAnsiTheme="minorHAnsi" w:cstheme="minorHAnsi"/>
          <w:b/>
          <w:sz w:val="48"/>
        </w:rPr>
        <w:t>6</w:t>
      </w:r>
      <w:r>
        <w:rPr>
          <w:rFonts w:asciiTheme="minorHAnsi" w:hAnsiTheme="minorHAnsi" w:cstheme="minorHAnsi"/>
          <w:b/>
          <w:sz w:val="48"/>
        </w:rPr>
        <w:t>-202</w:t>
      </w:r>
      <w:r w:rsidR="00555C58">
        <w:rPr>
          <w:rFonts w:asciiTheme="minorHAnsi" w:hAnsiTheme="minorHAnsi" w:cstheme="minorHAnsi"/>
          <w:b/>
          <w:sz w:val="48"/>
        </w:rPr>
        <w:t>8</w:t>
      </w:r>
    </w:p>
    <w:p w14:paraId="42BC793A" w14:textId="77777777" w:rsidR="000439E2" w:rsidRDefault="000439E2" w:rsidP="00127D0F">
      <w:pPr>
        <w:tabs>
          <w:tab w:val="left" w:pos="142"/>
        </w:tabs>
        <w:jc w:val="center"/>
        <w:rPr>
          <w:rFonts w:ascii="Calibri" w:hAnsi="Calibri" w:cs="Calibri"/>
          <w:b/>
          <w:sz w:val="32"/>
        </w:rPr>
      </w:pPr>
    </w:p>
    <w:p w14:paraId="0357B195" w14:textId="77777777" w:rsidR="000439E2" w:rsidRPr="00631EF6" w:rsidRDefault="000439E2" w:rsidP="000439E2">
      <w:pPr>
        <w:spacing w:after="120"/>
        <w:jc w:val="center"/>
        <w:rPr>
          <w:rFonts w:asciiTheme="minorHAnsi" w:hAnsiTheme="minorHAnsi" w:cstheme="majorHAnsi"/>
          <w:sz w:val="72"/>
          <w:szCs w:val="72"/>
        </w:rPr>
      </w:pPr>
      <w:r w:rsidRPr="00631EF6">
        <w:rPr>
          <w:rFonts w:asciiTheme="minorHAnsi" w:hAnsiTheme="minorHAnsi" w:cstheme="majorHAnsi"/>
          <w:sz w:val="72"/>
          <w:szCs w:val="72"/>
        </w:rPr>
        <w:t>Volume I</w:t>
      </w:r>
    </w:p>
    <w:p w14:paraId="403AE483" w14:textId="5B73DD46" w:rsidR="00127049" w:rsidRPr="00631EF6" w:rsidRDefault="00127049" w:rsidP="00127D0F">
      <w:pPr>
        <w:tabs>
          <w:tab w:val="left" w:pos="142"/>
        </w:tabs>
        <w:jc w:val="center"/>
        <w:rPr>
          <w:rFonts w:ascii="Calibri" w:hAnsi="Calibri" w:cs="Calibri"/>
          <w:b/>
          <w:sz w:val="32"/>
        </w:rPr>
      </w:pPr>
    </w:p>
    <w:p w14:paraId="07567AEE" w14:textId="52E2491E" w:rsidR="0072127A" w:rsidRPr="00631EF6" w:rsidRDefault="00AF1C28" w:rsidP="00127D0F">
      <w:pPr>
        <w:tabs>
          <w:tab w:val="left" w:pos="142"/>
        </w:tabs>
        <w:jc w:val="center"/>
        <w:rPr>
          <w:rFonts w:ascii="Calibri" w:hAnsi="Calibri" w:cs="Calibri"/>
          <w:b/>
          <w:sz w:val="32"/>
        </w:rPr>
      </w:pPr>
      <w:r>
        <w:rPr>
          <w:rFonts w:ascii="Calibri" w:hAnsi="Calibri" w:cs="Calibri"/>
          <w:b/>
          <w:sz w:val="32"/>
        </w:rPr>
        <w:t>Final</w:t>
      </w:r>
    </w:p>
    <w:p w14:paraId="5284A4EB" w14:textId="77777777" w:rsidR="00E818E2" w:rsidRPr="00631EF6" w:rsidRDefault="00E818E2" w:rsidP="00E818E2">
      <w:pPr>
        <w:tabs>
          <w:tab w:val="left" w:pos="142"/>
        </w:tabs>
        <w:jc w:val="center"/>
        <w:rPr>
          <w:rFonts w:ascii="Calibri" w:hAnsi="Calibri" w:cs="Calibri"/>
          <w:b/>
          <w:sz w:val="32"/>
        </w:rPr>
      </w:pPr>
    </w:p>
    <w:p w14:paraId="4A3ABF5A" w14:textId="77777777" w:rsidR="00AA1F4D" w:rsidRPr="00631EF6" w:rsidRDefault="00AA1F4D" w:rsidP="00AA1F4D">
      <w:pPr>
        <w:tabs>
          <w:tab w:val="left" w:pos="142"/>
        </w:tabs>
        <w:jc w:val="center"/>
        <w:rPr>
          <w:rFonts w:ascii="Calibri" w:hAnsi="Calibri" w:cs="Calibri"/>
          <w:b/>
          <w:sz w:val="32"/>
        </w:rPr>
      </w:pPr>
    </w:p>
    <w:p w14:paraId="20FC7646" w14:textId="77777777" w:rsidR="00B81B78" w:rsidRPr="00631EF6" w:rsidRDefault="00B81B78" w:rsidP="00B81B78">
      <w:pPr>
        <w:tabs>
          <w:tab w:val="left" w:pos="142"/>
        </w:tabs>
        <w:jc w:val="center"/>
        <w:rPr>
          <w:rFonts w:ascii="Calibri" w:hAnsi="Calibri" w:cs="Calibri"/>
          <w:b/>
          <w:sz w:val="32"/>
        </w:rPr>
      </w:pPr>
    </w:p>
    <w:p w14:paraId="105224DD" w14:textId="77777777" w:rsidR="00B81B78" w:rsidRPr="00631EF6" w:rsidRDefault="00B81B78" w:rsidP="00B81B78">
      <w:pPr>
        <w:tabs>
          <w:tab w:val="left" w:pos="142"/>
        </w:tabs>
        <w:jc w:val="center"/>
        <w:rPr>
          <w:rFonts w:ascii="Calibri" w:hAnsi="Calibri" w:cs="Calibri"/>
          <w:b/>
          <w:sz w:val="3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9"/>
        <w:gridCol w:w="1683"/>
        <w:gridCol w:w="3336"/>
      </w:tblGrid>
      <w:tr w:rsidR="00B81B78" w:rsidRPr="00631EF6" w14:paraId="1E685139" w14:textId="77777777" w:rsidTr="00AA5F8E">
        <w:trPr>
          <w:trHeight w:val="1378"/>
        </w:trPr>
        <w:tc>
          <w:tcPr>
            <w:tcW w:w="2456" w:type="pct"/>
          </w:tcPr>
          <w:p w14:paraId="3A5CE610" w14:textId="77777777" w:rsidR="00B81B78" w:rsidRPr="00631EF6" w:rsidRDefault="00B81B78" w:rsidP="00AA5F8E">
            <w:pPr>
              <w:tabs>
                <w:tab w:val="left" w:pos="142"/>
              </w:tabs>
              <w:jc w:val="center"/>
              <w:rPr>
                <w:rFonts w:ascii="Calibri" w:hAnsi="Calibri" w:cs="Calibri"/>
                <w:b/>
                <w:sz w:val="32"/>
              </w:rPr>
            </w:pPr>
            <w:r w:rsidRPr="00631EF6">
              <w:rPr>
                <w:rFonts w:ascii="Calibri" w:hAnsi="Calibri" w:cs="Calibri"/>
                <w:b/>
                <w:noProof/>
                <w:sz w:val="32"/>
                <w:lang w:val="en-US" w:eastAsia="en-US"/>
              </w:rPr>
              <w:drawing>
                <wp:inline distT="0" distB="0" distL="0" distR="0" wp14:anchorId="2300B560" wp14:editId="1F441C41">
                  <wp:extent cx="2382012" cy="833704"/>
                  <wp:effectExtent l="0" t="0" r="0" b="5080"/>
                  <wp:docPr id="1"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and white logo&#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382012" cy="833704"/>
                          </a:xfrm>
                          <a:prstGeom prst="rect">
                            <a:avLst/>
                          </a:prstGeom>
                        </pic:spPr>
                      </pic:pic>
                    </a:graphicData>
                  </a:graphic>
                </wp:inline>
              </w:drawing>
            </w:r>
          </w:p>
        </w:tc>
        <w:tc>
          <w:tcPr>
            <w:tcW w:w="933" w:type="pct"/>
          </w:tcPr>
          <w:p w14:paraId="18F2BAFF" w14:textId="77777777" w:rsidR="00B81B78" w:rsidRPr="00631EF6" w:rsidRDefault="00B81B78" w:rsidP="00AA5F8E">
            <w:pPr>
              <w:tabs>
                <w:tab w:val="left" w:pos="142"/>
              </w:tabs>
              <w:jc w:val="center"/>
              <w:rPr>
                <w:rFonts w:ascii="Calibri" w:hAnsi="Calibri" w:cs="Calibri"/>
                <w:b/>
                <w:sz w:val="32"/>
              </w:rPr>
            </w:pPr>
            <w:r w:rsidRPr="00631EF6">
              <w:rPr>
                <w:rFonts w:cs="Verdana"/>
                <w:noProof/>
                <w:lang w:val="en-US" w:eastAsia="en-US"/>
              </w:rPr>
              <w:drawing>
                <wp:anchor distT="0" distB="0" distL="114300" distR="114300" simplePos="0" relativeHeight="251659264" behindDoc="0" locked="0" layoutInCell="1" allowOverlap="1" wp14:anchorId="0835E8E9" wp14:editId="3B49F4E0">
                  <wp:simplePos x="0" y="0"/>
                  <wp:positionH relativeFrom="column">
                    <wp:posOffset>292456</wp:posOffset>
                  </wp:positionH>
                  <wp:positionV relativeFrom="paragraph">
                    <wp:posOffset>29260</wp:posOffset>
                  </wp:positionV>
                  <wp:extent cx="694842" cy="694842"/>
                  <wp:effectExtent l="0" t="0" r="0" b="0"/>
                  <wp:wrapThrough wrapText="bothSides">
                    <wp:wrapPolygon edited="0">
                      <wp:start x="0" y="0"/>
                      <wp:lineTo x="0" y="20731"/>
                      <wp:lineTo x="20731" y="20731"/>
                      <wp:lineTo x="20731" y="0"/>
                      <wp:lineTo x="0" y="0"/>
                    </wp:wrapPolygon>
                  </wp:wrapThrough>
                  <wp:docPr id="20" name="Picture 13" descr="A blue square with a yellow bird and white st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3" descr="A blue square with a yellow bird and white star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4842" cy="694842"/>
                          </a:xfrm>
                          <a:prstGeom prst="rect">
                            <a:avLst/>
                          </a:prstGeom>
                          <a:noFill/>
                          <a:ln>
                            <a:noFill/>
                          </a:ln>
                        </pic:spPr>
                      </pic:pic>
                    </a:graphicData>
                  </a:graphic>
                </wp:anchor>
              </w:drawing>
            </w:r>
          </w:p>
        </w:tc>
        <w:tc>
          <w:tcPr>
            <w:tcW w:w="1611" w:type="pct"/>
          </w:tcPr>
          <w:p w14:paraId="32FC918B" w14:textId="77777777" w:rsidR="00B81B78" w:rsidRPr="00631EF6" w:rsidRDefault="00B81B78" w:rsidP="00AA5F8E">
            <w:pPr>
              <w:tabs>
                <w:tab w:val="left" w:pos="142"/>
              </w:tabs>
              <w:jc w:val="center"/>
              <w:rPr>
                <w:rFonts w:ascii="Calibri" w:hAnsi="Calibri" w:cs="Calibri"/>
                <w:b/>
                <w:sz w:val="32"/>
              </w:rPr>
            </w:pPr>
            <w:r w:rsidRPr="00631EF6">
              <w:rPr>
                <w:b/>
                <w:noProof/>
                <w:lang w:val="en-US" w:eastAsia="en-US"/>
              </w:rPr>
              <mc:AlternateContent>
                <mc:Choice Requires="wps">
                  <w:drawing>
                    <wp:inline distT="0" distB="0" distL="0" distR="0" wp14:anchorId="6395431F" wp14:editId="703CE8AE">
                      <wp:extent cx="1974215" cy="740410"/>
                      <wp:effectExtent l="0" t="0" r="6985" b="25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215" cy="740410"/>
                              </a:xfrm>
                              <a:prstGeom prst="rect">
                                <a:avLst/>
                              </a:prstGeom>
                              <a:solidFill>
                                <a:srgbClr val="FFFFFF"/>
                              </a:solidFill>
                              <a:ln w="9525">
                                <a:noFill/>
                                <a:miter lim="800000"/>
                                <a:headEnd/>
                                <a:tailEnd/>
                              </a:ln>
                            </wps:spPr>
                            <wps:txbx>
                              <w:txbxContent>
                                <w:p w14:paraId="367FFBA7" w14:textId="77777777" w:rsidR="00B81B78" w:rsidRPr="0072127A" w:rsidRDefault="00B81B78" w:rsidP="00B81B78">
                                  <w:pPr>
                                    <w:pBdr>
                                      <w:left w:val="single" w:sz="4" w:space="4" w:color="auto"/>
                                    </w:pBdr>
                                    <w:rPr>
                                      <w:color w:val="0070C0"/>
                                      <w:sz w:val="72"/>
                                    </w:rPr>
                                  </w:pPr>
                                  <w:r>
                                    <w:rPr>
                                      <w:color w:val="0070C0"/>
                                      <w:sz w:val="72"/>
                                    </w:rPr>
                                    <w:t xml:space="preserve"> </w:t>
                                  </w:r>
                                  <w:r w:rsidRPr="0072127A">
                                    <w:rPr>
                                      <w:color w:val="0070C0"/>
                                      <w:sz w:val="72"/>
                                    </w:rPr>
                                    <w:t>EASA</w:t>
                                  </w:r>
                                </w:p>
                              </w:txbxContent>
                            </wps:txbx>
                            <wps:bodyPr rot="0" vert="horz" wrap="square" lIns="91440" tIns="45720" rIns="91440" bIns="45720" anchor="t" anchorCtr="0">
                              <a:noAutofit/>
                            </wps:bodyPr>
                          </wps:wsp>
                        </a:graphicData>
                      </a:graphic>
                    </wp:inline>
                  </w:drawing>
                </mc:Choice>
                <mc:Fallback>
                  <w:pict>
                    <v:shapetype w14:anchorId="6395431F" id="_x0000_t202" coordsize="21600,21600" o:spt="202" path="m,l,21600r21600,l21600,xe">
                      <v:stroke joinstyle="miter"/>
                      <v:path gradientshapeok="t" o:connecttype="rect"/>
                    </v:shapetype>
                    <v:shape id="Text Box 2" o:spid="_x0000_s1026" type="#_x0000_t202" style="width:155.45pt;height:5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ZfJDAIAAPYDAAAOAAAAZHJzL2Uyb0RvYy54bWysU8Fu2zAMvQ/YPwi6L7YDZ2mMOEWXLsOA&#10;rhvQ7QNkWY6FSaImKbGzrx8lp2nQ3Yb5IJAm9Ug+Pq1vR63IUTgvwdS0mOWUCMOhlWZf0x/fd+9u&#10;KPGBmZYpMKKmJ+Hp7ebtm/VgKzGHHlQrHEEQ46vB1rQPwVZZ5nkvNPMzsMJgsAOnWUDX7bPWsQHR&#10;tcrmef4+G8C11gEX3uPf+ylINwm/6wQPX7vOi0BUTbG3kE6Xziae2WbNqr1jtpf83Ab7hy40kwaL&#10;XqDuWWDk4ORfUFpyBx66MOOgM+g6yUWaAacp8lfTPPXMijQLkuPthSb//2D54/HJfnMkjB9gxAWm&#10;Ibx9AP7TEwPbnpm9uHMOhl6wFgsXkbJssL46X41U+8pHkGb4Ai0umR0CJKCxczqygnMSRMcFnC6k&#10;izEQHkuuluW8WFDCMbYs87JIW8lY9XzbOh8+CdAkGjV1uNSEzo4PPsRuWPWcEot5ULLdSaWS4/bN&#10;VjlyZCiAXfrSAK/SlCFDTVeL+SIhG4j3kza0DChQJXVNb/L4TZKJbHw0bUoJTKrJxk6UOdMTGZm4&#10;CWMzYmKkqYH2hEQ5mISIDweNHtxvSgYUYU39rwNzghL12SDZq6Iso2qTUy6Wc3TcdaS5jjDDEaqm&#10;gZLJ3Iak9MiDgTtcSicTXy+dnHtFcSUazw8hqvfaT1kvz3XzBwAA//8DAFBLAwQUAAYACAAAACEA&#10;GCBntNsAAAAFAQAADwAAAGRycy9kb3ducmV2LnhtbEyPzU7DMBCE70i8g7VIXBB1wk9KQ5wKkEC9&#10;tvQBNvE2iYjXUew26duzcIHLSKsZzXxbrGfXqxONofNsIF0koIhrbztuDOw/32+fQIWIbLH3TAbO&#10;FGBdXl4UmFs/8ZZOu9goKeGQo4E2xiHXOtQtOQwLPxCLd/Cjwyjn2Gg74iTlrtd3SZJphx3LQosD&#10;vbVUf+2OzsBhM908rqbqI+6X24fsFbtl5c/GXF/NL8+gIs3xLww/+IIOpTBV/sg2qN6APBJ/Vbz7&#10;NFmBqiSUZhnostD/6ctvAAAA//8DAFBLAQItABQABgAIAAAAIQC2gziS/gAAAOEBAAATAAAAAAAA&#10;AAAAAAAAAAAAAABbQ29udGVudF9UeXBlc10ueG1sUEsBAi0AFAAGAAgAAAAhADj9If/WAAAAlAEA&#10;AAsAAAAAAAAAAAAAAAAALwEAAF9yZWxzLy5yZWxzUEsBAi0AFAAGAAgAAAAhAOMJl8kMAgAA9gMA&#10;AA4AAAAAAAAAAAAAAAAALgIAAGRycy9lMm9Eb2MueG1sUEsBAi0AFAAGAAgAAAAhABggZ7TbAAAA&#10;BQEAAA8AAAAAAAAAAAAAAAAAZgQAAGRycy9kb3ducmV2LnhtbFBLBQYAAAAABAAEAPMAAABuBQAA&#10;AAA=&#10;" stroked="f">
                      <v:textbox>
                        <w:txbxContent>
                          <w:p w14:paraId="367FFBA7" w14:textId="77777777" w:rsidR="00B81B78" w:rsidRPr="0072127A" w:rsidRDefault="00B81B78" w:rsidP="00B81B78">
                            <w:pPr>
                              <w:pBdr>
                                <w:left w:val="single" w:sz="4" w:space="4" w:color="auto"/>
                              </w:pBdr>
                              <w:rPr>
                                <w:color w:val="0070C0"/>
                                <w:sz w:val="72"/>
                              </w:rPr>
                            </w:pPr>
                            <w:r>
                              <w:rPr>
                                <w:color w:val="0070C0"/>
                                <w:sz w:val="72"/>
                              </w:rPr>
                              <w:t xml:space="preserve"> </w:t>
                            </w:r>
                            <w:r w:rsidRPr="0072127A">
                              <w:rPr>
                                <w:color w:val="0070C0"/>
                                <w:sz w:val="72"/>
                              </w:rPr>
                              <w:t>EASA</w:t>
                            </w:r>
                          </w:p>
                        </w:txbxContent>
                      </v:textbox>
                      <w10:anchorlock/>
                    </v:shape>
                  </w:pict>
                </mc:Fallback>
              </mc:AlternateContent>
            </w:r>
          </w:p>
        </w:tc>
      </w:tr>
    </w:tbl>
    <w:p w14:paraId="4ACBB543" w14:textId="77777777" w:rsidR="00AA1F4D" w:rsidRPr="00631EF6" w:rsidRDefault="00AA1F4D" w:rsidP="00AA1F4D">
      <w:pPr>
        <w:tabs>
          <w:tab w:val="left" w:pos="142"/>
        </w:tabs>
        <w:jc w:val="center"/>
        <w:rPr>
          <w:rFonts w:ascii="Calibri" w:hAnsi="Calibri" w:cs="Calibri"/>
          <w:b/>
          <w:sz w:val="32"/>
        </w:rPr>
      </w:pPr>
    </w:p>
    <w:p w14:paraId="3DADB4C5" w14:textId="77777777" w:rsidR="00044CF1" w:rsidRDefault="00044CF1" w:rsidP="00044CF1">
      <w:pPr>
        <w:rPr>
          <w:rFonts w:asciiTheme="minorHAnsi" w:hAnsiTheme="minorHAnsi" w:cstheme="minorHAnsi"/>
          <w:sz w:val="22"/>
          <w:szCs w:val="22"/>
        </w:rPr>
      </w:pPr>
    </w:p>
    <w:p w14:paraId="5865A015" w14:textId="77777777" w:rsidR="00DC2C18" w:rsidRDefault="00DC2C18" w:rsidP="00044CF1">
      <w:pPr>
        <w:rPr>
          <w:rFonts w:asciiTheme="minorHAnsi" w:hAnsiTheme="minorHAnsi" w:cstheme="minorHAnsi"/>
          <w:sz w:val="22"/>
          <w:szCs w:val="22"/>
        </w:rPr>
      </w:pPr>
    </w:p>
    <w:p w14:paraId="1E6B3380" w14:textId="77777777" w:rsidR="00DC2C18" w:rsidRDefault="00DC2C18" w:rsidP="00044CF1">
      <w:pPr>
        <w:rPr>
          <w:rFonts w:asciiTheme="minorHAnsi" w:hAnsiTheme="minorHAnsi" w:cstheme="minorHAnsi"/>
          <w:sz w:val="22"/>
          <w:szCs w:val="22"/>
        </w:rPr>
      </w:pPr>
    </w:p>
    <w:p w14:paraId="48DEC3E0" w14:textId="77777777" w:rsidR="00DC2C18" w:rsidRPr="00631EF6" w:rsidRDefault="00DC2C18" w:rsidP="00044CF1">
      <w:pPr>
        <w:rPr>
          <w:rFonts w:asciiTheme="minorHAnsi" w:hAnsiTheme="minorHAnsi" w:cstheme="minorHAnsi"/>
          <w:sz w:val="22"/>
          <w:szCs w:val="22"/>
        </w:rPr>
      </w:pPr>
    </w:p>
    <w:p w14:paraId="75F12ADE" w14:textId="16C86514" w:rsidR="00CD2916" w:rsidRPr="00BA6B6C" w:rsidRDefault="00BA6B6C" w:rsidP="006B3DF8">
      <w:pPr>
        <w:jc w:val="center"/>
        <w:rPr>
          <w:b/>
          <w:sz w:val="28"/>
          <w:szCs w:val="28"/>
        </w:rPr>
      </w:pPr>
      <w:r>
        <w:rPr>
          <w:rFonts w:asciiTheme="minorHAnsi" w:hAnsiTheme="minorHAnsi" w:cstheme="minorHAnsi"/>
          <w:sz w:val="28"/>
          <w:szCs w:val="28"/>
        </w:rPr>
        <w:t xml:space="preserve">Status: </w:t>
      </w:r>
      <w:r w:rsidR="003A16F6" w:rsidRPr="003A16F6">
        <w:rPr>
          <w:rFonts w:asciiTheme="minorHAnsi" w:hAnsiTheme="minorHAnsi" w:cstheme="minorHAnsi"/>
          <w:sz w:val="28"/>
          <w:szCs w:val="28"/>
        </w:rPr>
        <w:t>01 January 2026</w:t>
      </w:r>
    </w:p>
    <w:p w14:paraId="39967D4E" w14:textId="77777777" w:rsidR="006C5AC3" w:rsidRPr="00631EF6" w:rsidRDefault="006C5AC3">
      <w:pPr>
        <w:rPr>
          <w:rFonts w:asciiTheme="minorHAnsi" w:hAnsiTheme="minorHAnsi"/>
          <w:szCs w:val="20"/>
        </w:rPr>
      </w:pPr>
      <w:r w:rsidRPr="00631EF6">
        <w:rPr>
          <w:rFonts w:asciiTheme="minorHAnsi" w:hAnsiTheme="minorHAnsi"/>
          <w:szCs w:val="20"/>
        </w:rPr>
        <w:br w:type="page"/>
      </w:r>
    </w:p>
    <w:p w14:paraId="236CE0D3" w14:textId="1504C352" w:rsidR="004559DF" w:rsidRPr="007662B1" w:rsidRDefault="004559DF" w:rsidP="00232444">
      <w:pPr>
        <w:pStyle w:val="Subtitle"/>
        <w:jc w:val="center"/>
        <w:rPr>
          <w:rStyle w:val="Emphasis"/>
          <w:rFonts w:cstheme="minorHAnsi"/>
          <w:b/>
          <w:i w:val="0"/>
          <w:color w:val="auto"/>
        </w:rPr>
      </w:pPr>
      <w:r w:rsidRPr="007662B1">
        <w:rPr>
          <w:rStyle w:val="Emphasis"/>
          <w:rFonts w:cstheme="minorHAnsi"/>
          <w:b/>
          <w:i w:val="0"/>
          <w:color w:val="auto"/>
        </w:rPr>
        <w:lastRenderedPageBreak/>
        <w:t>T</w:t>
      </w:r>
      <w:r w:rsidR="006F4A5A" w:rsidRPr="007662B1">
        <w:rPr>
          <w:rStyle w:val="Emphasis"/>
          <w:rFonts w:cstheme="minorHAnsi"/>
          <w:b/>
          <w:i w:val="0"/>
          <w:color w:val="auto"/>
        </w:rPr>
        <w:t xml:space="preserve">able of </w:t>
      </w:r>
      <w:r w:rsidR="00D53AD4" w:rsidRPr="007662B1">
        <w:rPr>
          <w:rStyle w:val="Emphasis"/>
          <w:rFonts w:cstheme="minorHAnsi"/>
          <w:b/>
          <w:i w:val="0"/>
          <w:color w:val="auto"/>
        </w:rPr>
        <w:t>C</w:t>
      </w:r>
      <w:r w:rsidR="006F4A5A" w:rsidRPr="007662B1">
        <w:rPr>
          <w:rStyle w:val="Emphasis"/>
          <w:rFonts w:cstheme="minorHAnsi"/>
          <w:b/>
          <w:i w:val="0"/>
          <w:color w:val="auto"/>
        </w:rPr>
        <w:t>ontents</w:t>
      </w:r>
    </w:p>
    <w:p w14:paraId="5973A63D" w14:textId="1F1E13F0" w:rsidR="007662B1" w:rsidRPr="007662B1" w:rsidRDefault="00D873CB">
      <w:pPr>
        <w:pStyle w:val="TOC1"/>
        <w:tabs>
          <w:tab w:val="left" w:pos="1620"/>
        </w:tabs>
        <w:rPr>
          <w:rFonts w:eastAsiaTheme="minorEastAsia"/>
          <w:kern w:val="2"/>
          <w:lang w:val="en-US" w:eastAsia="en-US"/>
          <w14:ligatures w14:val="standardContextual"/>
        </w:rPr>
      </w:pPr>
      <w:r w:rsidRPr="007662B1">
        <w:fldChar w:fldCharType="begin"/>
      </w:r>
      <w:r w:rsidRPr="007662B1">
        <w:instrText xml:space="preserve"> TOC \o "1-4" \h \z \u </w:instrText>
      </w:r>
      <w:r w:rsidRPr="007662B1">
        <w:fldChar w:fldCharType="separate"/>
      </w:r>
      <w:hyperlink w:anchor="_Toc213137984" w:history="1">
        <w:r w:rsidR="007662B1" w:rsidRPr="007662B1">
          <w:rPr>
            <w:rStyle w:val="Hyperlink"/>
          </w:rPr>
          <w:t>Section 1</w:t>
        </w:r>
        <w:r w:rsidR="007662B1" w:rsidRPr="007662B1">
          <w:rPr>
            <w:rFonts w:eastAsiaTheme="minorEastAsia"/>
            <w:kern w:val="2"/>
            <w:lang w:val="en-US" w:eastAsia="en-US"/>
            <w14:ligatures w14:val="standardContextual"/>
          </w:rPr>
          <w:tab/>
        </w:r>
        <w:r w:rsidR="007662B1" w:rsidRPr="007662B1">
          <w:rPr>
            <w:rStyle w:val="Hyperlink"/>
          </w:rPr>
          <w:t>Introduction</w:t>
        </w:r>
        <w:r w:rsidR="007662B1" w:rsidRPr="007662B1">
          <w:rPr>
            <w:webHidden/>
          </w:rPr>
          <w:tab/>
        </w:r>
        <w:r w:rsidR="007662B1" w:rsidRPr="007662B1">
          <w:rPr>
            <w:webHidden/>
          </w:rPr>
          <w:fldChar w:fldCharType="begin"/>
        </w:r>
        <w:r w:rsidR="007662B1" w:rsidRPr="007662B1">
          <w:rPr>
            <w:webHidden/>
          </w:rPr>
          <w:instrText xml:space="preserve"> PAGEREF _Toc213137984 \h </w:instrText>
        </w:r>
        <w:r w:rsidR="007662B1" w:rsidRPr="007662B1">
          <w:rPr>
            <w:webHidden/>
          </w:rPr>
        </w:r>
        <w:r w:rsidR="007662B1" w:rsidRPr="007662B1">
          <w:rPr>
            <w:webHidden/>
          </w:rPr>
          <w:fldChar w:fldCharType="separate"/>
        </w:r>
        <w:r w:rsidR="007662B1" w:rsidRPr="007662B1">
          <w:rPr>
            <w:webHidden/>
          </w:rPr>
          <w:t>4</w:t>
        </w:r>
        <w:r w:rsidR="007662B1" w:rsidRPr="007662B1">
          <w:rPr>
            <w:webHidden/>
          </w:rPr>
          <w:fldChar w:fldCharType="end"/>
        </w:r>
      </w:hyperlink>
    </w:p>
    <w:p w14:paraId="44BD4B40" w14:textId="09DB5D13" w:rsidR="007662B1" w:rsidRPr="007662B1" w:rsidRDefault="007662B1">
      <w:pPr>
        <w:pStyle w:val="TOC2"/>
        <w:rPr>
          <w:rFonts w:eastAsiaTheme="minorEastAsia"/>
          <w:i w:val="0"/>
          <w:kern w:val="2"/>
          <w:sz w:val="22"/>
          <w:szCs w:val="22"/>
          <w:lang w:val="en-US" w:eastAsia="en-US"/>
          <w14:ligatures w14:val="standardContextual"/>
        </w:rPr>
      </w:pPr>
      <w:hyperlink w:anchor="_Toc213137985" w:history="1">
        <w:r w:rsidRPr="007662B1">
          <w:rPr>
            <w:rStyle w:val="Hyperlink"/>
            <w:sz w:val="22"/>
            <w:szCs w:val="22"/>
          </w:rPr>
          <w:t>1.1</w:t>
        </w:r>
        <w:r w:rsidRPr="007662B1">
          <w:rPr>
            <w:rFonts w:eastAsiaTheme="minorEastAsia"/>
            <w:i w:val="0"/>
            <w:kern w:val="2"/>
            <w:sz w:val="22"/>
            <w:szCs w:val="22"/>
            <w:lang w:val="en-US" w:eastAsia="en-US"/>
            <w14:ligatures w14:val="standardContextual"/>
          </w:rPr>
          <w:tab/>
        </w:r>
        <w:r w:rsidRPr="007662B1">
          <w:rPr>
            <w:rStyle w:val="Hyperlink"/>
            <w:sz w:val="22"/>
            <w:szCs w:val="22"/>
          </w:rPr>
          <w:t>Overview of the EUR RASP</w:t>
        </w:r>
        <w:r w:rsidRPr="007662B1">
          <w:rPr>
            <w:webHidden/>
            <w:sz w:val="22"/>
            <w:szCs w:val="22"/>
          </w:rPr>
          <w:tab/>
        </w:r>
        <w:r w:rsidRPr="007662B1">
          <w:rPr>
            <w:webHidden/>
            <w:sz w:val="22"/>
            <w:szCs w:val="22"/>
          </w:rPr>
          <w:fldChar w:fldCharType="begin"/>
        </w:r>
        <w:r w:rsidRPr="007662B1">
          <w:rPr>
            <w:webHidden/>
            <w:sz w:val="22"/>
            <w:szCs w:val="22"/>
          </w:rPr>
          <w:instrText xml:space="preserve"> PAGEREF _Toc213137985 \h </w:instrText>
        </w:r>
        <w:r w:rsidRPr="007662B1">
          <w:rPr>
            <w:webHidden/>
            <w:sz w:val="22"/>
            <w:szCs w:val="22"/>
          </w:rPr>
        </w:r>
        <w:r w:rsidRPr="007662B1">
          <w:rPr>
            <w:webHidden/>
            <w:sz w:val="22"/>
            <w:szCs w:val="22"/>
          </w:rPr>
          <w:fldChar w:fldCharType="separate"/>
        </w:r>
        <w:r w:rsidRPr="007662B1">
          <w:rPr>
            <w:webHidden/>
            <w:sz w:val="22"/>
            <w:szCs w:val="22"/>
          </w:rPr>
          <w:t>4</w:t>
        </w:r>
        <w:r w:rsidRPr="007662B1">
          <w:rPr>
            <w:webHidden/>
            <w:sz w:val="22"/>
            <w:szCs w:val="22"/>
          </w:rPr>
          <w:fldChar w:fldCharType="end"/>
        </w:r>
      </w:hyperlink>
    </w:p>
    <w:p w14:paraId="2CFCAEF7" w14:textId="5099B0FD" w:rsidR="007662B1" w:rsidRPr="007662B1" w:rsidRDefault="007662B1">
      <w:pPr>
        <w:pStyle w:val="TOC2"/>
        <w:rPr>
          <w:rFonts w:eastAsiaTheme="minorEastAsia"/>
          <w:i w:val="0"/>
          <w:kern w:val="2"/>
          <w:sz w:val="22"/>
          <w:szCs w:val="22"/>
          <w:lang w:val="en-US" w:eastAsia="en-US"/>
          <w14:ligatures w14:val="standardContextual"/>
        </w:rPr>
      </w:pPr>
      <w:hyperlink w:anchor="_Toc213137986" w:history="1">
        <w:r w:rsidRPr="007662B1">
          <w:rPr>
            <w:rStyle w:val="Hyperlink"/>
            <w:sz w:val="22"/>
            <w:szCs w:val="22"/>
          </w:rPr>
          <w:t>1.2</w:t>
        </w:r>
        <w:r w:rsidRPr="007662B1">
          <w:rPr>
            <w:rFonts w:eastAsiaTheme="minorEastAsia"/>
            <w:i w:val="0"/>
            <w:kern w:val="2"/>
            <w:sz w:val="22"/>
            <w:szCs w:val="22"/>
            <w:lang w:val="en-US" w:eastAsia="en-US"/>
            <w14:ligatures w14:val="standardContextual"/>
          </w:rPr>
          <w:tab/>
        </w:r>
        <w:r w:rsidRPr="007662B1">
          <w:rPr>
            <w:rStyle w:val="Hyperlink"/>
            <w:sz w:val="22"/>
            <w:szCs w:val="22"/>
          </w:rPr>
          <w:t>Structure of the RASP</w:t>
        </w:r>
        <w:r w:rsidRPr="007662B1">
          <w:rPr>
            <w:webHidden/>
            <w:sz w:val="22"/>
            <w:szCs w:val="22"/>
          </w:rPr>
          <w:tab/>
        </w:r>
        <w:r w:rsidRPr="007662B1">
          <w:rPr>
            <w:webHidden/>
            <w:sz w:val="22"/>
            <w:szCs w:val="22"/>
          </w:rPr>
          <w:fldChar w:fldCharType="begin"/>
        </w:r>
        <w:r w:rsidRPr="007662B1">
          <w:rPr>
            <w:webHidden/>
            <w:sz w:val="22"/>
            <w:szCs w:val="22"/>
          </w:rPr>
          <w:instrText xml:space="preserve"> PAGEREF _Toc213137986 \h </w:instrText>
        </w:r>
        <w:r w:rsidRPr="007662B1">
          <w:rPr>
            <w:webHidden/>
            <w:sz w:val="22"/>
            <w:szCs w:val="22"/>
          </w:rPr>
        </w:r>
        <w:r w:rsidRPr="007662B1">
          <w:rPr>
            <w:webHidden/>
            <w:sz w:val="22"/>
            <w:szCs w:val="22"/>
          </w:rPr>
          <w:fldChar w:fldCharType="separate"/>
        </w:r>
        <w:r w:rsidRPr="007662B1">
          <w:rPr>
            <w:webHidden/>
            <w:sz w:val="22"/>
            <w:szCs w:val="22"/>
          </w:rPr>
          <w:t>4</w:t>
        </w:r>
        <w:r w:rsidRPr="007662B1">
          <w:rPr>
            <w:webHidden/>
            <w:sz w:val="22"/>
            <w:szCs w:val="22"/>
          </w:rPr>
          <w:fldChar w:fldCharType="end"/>
        </w:r>
      </w:hyperlink>
    </w:p>
    <w:p w14:paraId="74D115F7" w14:textId="18049D72" w:rsidR="007662B1" w:rsidRPr="007662B1" w:rsidRDefault="007662B1">
      <w:pPr>
        <w:pStyle w:val="TOC2"/>
        <w:rPr>
          <w:rFonts w:eastAsiaTheme="minorEastAsia"/>
          <w:i w:val="0"/>
          <w:kern w:val="2"/>
          <w:sz w:val="22"/>
          <w:szCs w:val="22"/>
          <w:lang w:val="en-US" w:eastAsia="en-US"/>
          <w14:ligatures w14:val="standardContextual"/>
        </w:rPr>
      </w:pPr>
      <w:hyperlink w:anchor="_Toc213137987" w:history="1">
        <w:r w:rsidRPr="007662B1">
          <w:rPr>
            <w:rStyle w:val="Hyperlink"/>
            <w:sz w:val="22"/>
            <w:szCs w:val="22"/>
          </w:rPr>
          <w:t>1.3</w:t>
        </w:r>
        <w:r w:rsidRPr="007662B1">
          <w:rPr>
            <w:rFonts w:eastAsiaTheme="minorEastAsia"/>
            <w:i w:val="0"/>
            <w:kern w:val="2"/>
            <w:sz w:val="22"/>
            <w:szCs w:val="22"/>
            <w:lang w:val="en-US" w:eastAsia="en-US"/>
            <w14:ligatures w14:val="standardContextual"/>
          </w:rPr>
          <w:tab/>
        </w:r>
        <w:r w:rsidRPr="007662B1">
          <w:rPr>
            <w:rStyle w:val="Hyperlink"/>
            <w:sz w:val="22"/>
            <w:szCs w:val="22"/>
          </w:rPr>
          <w:t>Process for the EUR RASP development, implementation and monitoring</w:t>
        </w:r>
        <w:r w:rsidRPr="007662B1">
          <w:rPr>
            <w:webHidden/>
            <w:sz w:val="22"/>
            <w:szCs w:val="22"/>
          </w:rPr>
          <w:tab/>
        </w:r>
        <w:r w:rsidRPr="007662B1">
          <w:rPr>
            <w:webHidden/>
            <w:sz w:val="22"/>
            <w:szCs w:val="22"/>
          </w:rPr>
          <w:fldChar w:fldCharType="begin"/>
        </w:r>
        <w:r w:rsidRPr="007662B1">
          <w:rPr>
            <w:webHidden/>
            <w:sz w:val="22"/>
            <w:szCs w:val="22"/>
          </w:rPr>
          <w:instrText xml:space="preserve"> PAGEREF _Toc213137987 \h </w:instrText>
        </w:r>
        <w:r w:rsidRPr="007662B1">
          <w:rPr>
            <w:webHidden/>
            <w:sz w:val="22"/>
            <w:szCs w:val="22"/>
          </w:rPr>
        </w:r>
        <w:r w:rsidRPr="007662B1">
          <w:rPr>
            <w:webHidden/>
            <w:sz w:val="22"/>
            <w:szCs w:val="22"/>
          </w:rPr>
          <w:fldChar w:fldCharType="separate"/>
        </w:r>
        <w:r w:rsidRPr="007662B1">
          <w:rPr>
            <w:webHidden/>
            <w:sz w:val="22"/>
            <w:szCs w:val="22"/>
          </w:rPr>
          <w:t>4</w:t>
        </w:r>
        <w:r w:rsidRPr="007662B1">
          <w:rPr>
            <w:webHidden/>
            <w:sz w:val="22"/>
            <w:szCs w:val="22"/>
          </w:rPr>
          <w:fldChar w:fldCharType="end"/>
        </w:r>
      </w:hyperlink>
    </w:p>
    <w:p w14:paraId="14449593" w14:textId="4AA5A20E" w:rsidR="007662B1" w:rsidRPr="007662B1" w:rsidRDefault="007662B1">
      <w:pPr>
        <w:pStyle w:val="TOC2"/>
        <w:rPr>
          <w:rFonts w:eastAsiaTheme="minorEastAsia"/>
          <w:i w:val="0"/>
          <w:kern w:val="2"/>
          <w:sz w:val="22"/>
          <w:szCs w:val="22"/>
          <w:lang w:val="en-US" w:eastAsia="en-US"/>
          <w14:ligatures w14:val="standardContextual"/>
        </w:rPr>
      </w:pPr>
      <w:hyperlink w:anchor="_Toc213137988" w:history="1">
        <w:r w:rsidRPr="007662B1">
          <w:rPr>
            <w:rStyle w:val="Hyperlink"/>
            <w:sz w:val="22"/>
            <w:szCs w:val="22"/>
          </w:rPr>
          <w:t>1.4</w:t>
        </w:r>
        <w:r w:rsidRPr="007662B1">
          <w:rPr>
            <w:rFonts w:eastAsiaTheme="minorEastAsia"/>
            <w:i w:val="0"/>
            <w:kern w:val="2"/>
            <w:sz w:val="22"/>
            <w:szCs w:val="22"/>
            <w:lang w:val="en-US" w:eastAsia="en-US"/>
            <w14:ligatures w14:val="standardContextual"/>
          </w:rPr>
          <w:tab/>
        </w:r>
        <w:r w:rsidRPr="007662B1">
          <w:rPr>
            <w:rStyle w:val="Hyperlink"/>
            <w:sz w:val="22"/>
            <w:szCs w:val="22"/>
          </w:rPr>
          <w:t>Relationship between GASP, RASP, EPAS and NASP</w:t>
        </w:r>
        <w:r w:rsidRPr="007662B1">
          <w:rPr>
            <w:webHidden/>
            <w:sz w:val="22"/>
            <w:szCs w:val="22"/>
          </w:rPr>
          <w:tab/>
        </w:r>
        <w:r w:rsidRPr="007662B1">
          <w:rPr>
            <w:webHidden/>
            <w:sz w:val="22"/>
            <w:szCs w:val="22"/>
          </w:rPr>
          <w:fldChar w:fldCharType="begin"/>
        </w:r>
        <w:r w:rsidRPr="007662B1">
          <w:rPr>
            <w:webHidden/>
            <w:sz w:val="22"/>
            <w:szCs w:val="22"/>
          </w:rPr>
          <w:instrText xml:space="preserve"> PAGEREF _Toc213137988 \h </w:instrText>
        </w:r>
        <w:r w:rsidRPr="007662B1">
          <w:rPr>
            <w:webHidden/>
            <w:sz w:val="22"/>
            <w:szCs w:val="22"/>
          </w:rPr>
        </w:r>
        <w:r w:rsidRPr="007662B1">
          <w:rPr>
            <w:webHidden/>
            <w:sz w:val="22"/>
            <w:szCs w:val="22"/>
          </w:rPr>
          <w:fldChar w:fldCharType="separate"/>
        </w:r>
        <w:r w:rsidRPr="007662B1">
          <w:rPr>
            <w:webHidden/>
            <w:sz w:val="22"/>
            <w:szCs w:val="22"/>
          </w:rPr>
          <w:t>5</w:t>
        </w:r>
        <w:r w:rsidRPr="007662B1">
          <w:rPr>
            <w:webHidden/>
            <w:sz w:val="22"/>
            <w:szCs w:val="22"/>
          </w:rPr>
          <w:fldChar w:fldCharType="end"/>
        </w:r>
      </w:hyperlink>
    </w:p>
    <w:p w14:paraId="262AF129" w14:textId="6B7B02E5" w:rsidR="007662B1" w:rsidRPr="007662B1" w:rsidRDefault="007662B1">
      <w:pPr>
        <w:pStyle w:val="TOC3"/>
        <w:rPr>
          <w:rFonts w:asciiTheme="minorHAnsi" w:eastAsiaTheme="minorEastAsia" w:hAnsiTheme="minorHAnsi" w:cstheme="minorHAnsi"/>
          <w:kern w:val="2"/>
          <w:sz w:val="22"/>
          <w:szCs w:val="22"/>
          <w:lang w:val="en-US" w:eastAsia="en-US"/>
          <w14:ligatures w14:val="standardContextual"/>
        </w:rPr>
      </w:pPr>
      <w:hyperlink w:anchor="_Toc213137989" w:history="1">
        <w:r w:rsidRPr="007662B1">
          <w:rPr>
            <w:rStyle w:val="Hyperlink"/>
            <w:rFonts w:asciiTheme="minorHAnsi" w:hAnsiTheme="minorHAnsi" w:cstheme="minorHAnsi"/>
            <w:sz w:val="22"/>
            <w:szCs w:val="22"/>
          </w:rPr>
          <w:t>1.4.1</w:t>
        </w:r>
        <w:r w:rsidRPr="007662B1">
          <w:rPr>
            <w:rFonts w:asciiTheme="minorHAnsi" w:eastAsiaTheme="minorEastAsia" w:hAnsiTheme="minorHAnsi" w:cstheme="minorHAnsi"/>
            <w:kern w:val="2"/>
            <w:sz w:val="22"/>
            <w:szCs w:val="22"/>
            <w:lang w:val="en-US" w:eastAsia="en-US"/>
            <w14:ligatures w14:val="standardContextual"/>
          </w:rPr>
          <w:tab/>
        </w:r>
        <w:r w:rsidRPr="007662B1">
          <w:rPr>
            <w:rStyle w:val="Hyperlink"/>
            <w:rFonts w:asciiTheme="minorHAnsi" w:hAnsiTheme="minorHAnsi" w:cstheme="minorHAnsi"/>
            <w:sz w:val="22"/>
            <w:szCs w:val="22"/>
          </w:rPr>
          <w:t>General Overview</w:t>
        </w:r>
        <w:r w:rsidRPr="007662B1">
          <w:rPr>
            <w:rFonts w:asciiTheme="minorHAnsi" w:hAnsiTheme="minorHAnsi" w:cstheme="minorHAnsi"/>
            <w:webHidden/>
            <w:sz w:val="22"/>
            <w:szCs w:val="22"/>
          </w:rPr>
          <w:tab/>
        </w:r>
        <w:r w:rsidRPr="007662B1">
          <w:rPr>
            <w:rFonts w:asciiTheme="minorHAnsi" w:hAnsiTheme="minorHAnsi" w:cstheme="minorHAnsi"/>
            <w:webHidden/>
            <w:sz w:val="22"/>
            <w:szCs w:val="22"/>
          </w:rPr>
          <w:fldChar w:fldCharType="begin"/>
        </w:r>
        <w:r w:rsidRPr="007662B1">
          <w:rPr>
            <w:rFonts w:asciiTheme="minorHAnsi" w:hAnsiTheme="minorHAnsi" w:cstheme="minorHAnsi"/>
            <w:webHidden/>
            <w:sz w:val="22"/>
            <w:szCs w:val="22"/>
          </w:rPr>
          <w:instrText xml:space="preserve"> PAGEREF _Toc213137989 \h </w:instrText>
        </w:r>
        <w:r w:rsidRPr="007662B1">
          <w:rPr>
            <w:rFonts w:asciiTheme="minorHAnsi" w:hAnsiTheme="minorHAnsi" w:cstheme="minorHAnsi"/>
            <w:webHidden/>
            <w:sz w:val="22"/>
            <w:szCs w:val="22"/>
          </w:rPr>
        </w:r>
        <w:r w:rsidRPr="007662B1">
          <w:rPr>
            <w:rFonts w:asciiTheme="minorHAnsi" w:hAnsiTheme="minorHAnsi" w:cstheme="minorHAnsi"/>
            <w:webHidden/>
            <w:sz w:val="22"/>
            <w:szCs w:val="22"/>
          </w:rPr>
          <w:fldChar w:fldCharType="separate"/>
        </w:r>
        <w:r w:rsidRPr="007662B1">
          <w:rPr>
            <w:rFonts w:asciiTheme="minorHAnsi" w:hAnsiTheme="minorHAnsi" w:cstheme="minorHAnsi"/>
            <w:webHidden/>
            <w:sz w:val="22"/>
            <w:szCs w:val="22"/>
          </w:rPr>
          <w:t>5</w:t>
        </w:r>
        <w:r w:rsidRPr="007662B1">
          <w:rPr>
            <w:rFonts w:asciiTheme="minorHAnsi" w:hAnsiTheme="minorHAnsi" w:cstheme="minorHAnsi"/>
            <w:webHidden/>
            <w:sz w:val="22"/>
            <w:szCs w:val="22"/>
          </w:rPr>
          <w:fldChar w:fldCharType="end"/>
        </w:r>
      </w:hyperlink>
    </w:p>
    <w:p w14:paraId="587273AE" w14:textId="31476B8C" w:rsidR="007662B1" w:rsidRPr="007662B1" w:rsidRDefault="007662B1">
      <w:pPr>
        <w:pStyle w:val="TOC3"/>
        <w:rPr>
          <w:rFonts w:asciiTheme="minorHAnsi" w:eastAsiaTheme="minorEastAsia" w:hAnsiTheme="minorHAnsi" w:cstheme="minorHAnsi"/>
          <w:kern w:val="2"/>
          <w:sz w:val="22"/>
          <w:szCs w:val="22"/>
          <w:lang w:val="en-US" w:eastAsia="en-US"/>
          <w14:ligatures w14:val="standardContextual"/>
        </w:rPr>
      </w:pPr>
      <w:hyperlink w:anchor="_Toc213137990" w:history="1">
        <w:r w:rsidRPr="007662B1">
          <w:rPr>
            <w:rStyle w:val="Hyperlink"/>
            <w:rFonts w:asciiTheme="minorHAnsi" w:hAnsiTheme="minorHAnsi" w:cstheme="minorHAnsi"/>
            <w:sz w:val="22"/>
            <w:szCs w:val="22"/>
          </w:rPr>
          <w:t>1.4.2</w:t>
        </w:r>
        <w:r w:rsidRPr="007662B1">
          <w:rPr>
            <w:rFonts w:asciiTheme="minorHAnsi" w:eastAsiaTheme="minorEastAsia" w:hAnsiTheme="minorHAnsi" w:cstheme="minorHAnsi"/>
            <w:kern w:val="2"/>
            <w:sz w:val="22"/>
            <w:szCs w:val="22"/>
            <w:lang w:val="en-US" w:eastAsia="en-US"/>
            <w14:ligatures w14:val="standardContextual"/>
          </w:rPr>
          <w:tab/>
        </w:r>
        <w:r w:rsidRPr="007662B1">
          <w:rPr>
            <w:rStyle w:val="Hyperlink"/>
            <w:rFonts w:asciiTheme="minorHAnsi" w:hAnsiTheme="minorHAnsi" w:cstheme="minorHAnsi"/>
            <w:sz w:val="22"/>
            <w:szCs w:val="22"/>
          </w:rPr>
          <w:t>Relationship between EUR RASP and EPAS</w:t>
        </w:r>
        <w:r w:rsidRPr="007662B1">
          <w:rPr>
            <w:rFonts w:asciiTheme="minorHAnsi" w:hAnsiTheme="minorHAnsi" w:cstheme="minorHAnsi"/>
            <w:webHidden/>
            <w:sz w:val="22"/>
            <w:szCs w:val="22"/>
          </w:rPr>
          <w:tab/>
        </w:r>
        <w:r w:rsidRPr="007662B1">
          <w:rPr>
            <w:rFonts w:asciiTheme="minorHAnsi" w:hAnsiTheme="minorHAnsi" w:cstheme="minorHAnsi"/>
            <w:webHidden/>
            <w:sz w:val="22"/>
            <w:szCs w:val="22"/>
          </w:rPr>
          <w:fldChar w:fldCharType="begin"/>
        </w:r>
        <w:r w:rsidRPr="007662B1">
          <w:rPr>
            <w:rFonts w:asciiTheme="minorHAnsi" w:hAnsiTheme="minorHAnsi" w:cstheme="minorHAnsi"/>
            <w:webHidden/>
            <w:sz w:val="22"/>
            <w:szCs w:val="22"/>
          </w:rPr>
          <w:instrText xml:space="preserve"> PAGEREF _Toc213137990 \h </w:instrText>
        </w:r>
        <w:r w:rsidRPr="007662B1">
          <w:rPr>
            <w:rFonts w:asciiTheme="minorHAnsi" w:hAnsiTheme="minorHAnsi" w:cstheme="minorHAnsi"/>
            <w:webHidden/>
            <w:sz w:val="22"/>
            <w:szCs w:val="22"/>
          </w:rPr>
        </w:r>
        <w:r w:rsidRPr="007662B1">
          <w:rPr>
            <w:rFonts w:asciiTheme="minorHAnsi" w:hAnsiTheme="minorHAnsi" w:cstheme="minorHAnsi"/>
            <w:webHidden/>
            <w:sz w:val="22"/>
            <w:szCs w:val="22"/>
          </w:rPr>
          <w:fldChar w:fldCharType="separate"/>
        </w:r>
        <w:r w:rsidRPr="007662B1">
          <w:rPr>
            <w:rFonts w:asciiTheme="minorHAnsi" w:hAnsiTheme="minorHAnsi" w:cstheme="minorHAnsi"/>
            <w:webHidden/>
            <w:sz w:val="22"/>
            <w:szCs w:val="22"/>
          </w:rPr>
          <w:t>5</w:t>
        </w:r>
        <w:r w:rsidRPr="007662B1">
          <w:rPr>
            <w:rFonts w:asciiTheme="minorHAnsi" w:hAnsiTheme="minorHAnsi" w:cstheme="minorHAnsi"/>
            <w:webHidden/>
            <w:sz w:val="22"/>
            <w:szCs w:val="22"/>
          </w:rPr>
          <w:fldChar w:fldCharType="end"/>
        </w:r>
      </w:hyperlink>
    </w:p>
    <w:p w14:paraId="39CCC67C" w14:textId="3C6BC6A8" w:rsidR="007662B1" w:rsidRPr="007662B1" w:rsidRDefault="007662B1">
      <w:pPr>
        <w:pStyle w:val="TOC3"/>
        <w:rPr>
          <w:rFonts w:asciiTheme="minorHAnsi" w:eastAsiaTheme="minorEastAsia" w:hAnsiTheme="minorHAnsi" w:cstheme="minorHAnsi"/>
          <w:kern w:val="2"/>
          <w:sz w:val="22"/>
          <w:szCs w:val="22"/>
          <w:lang w:val="en-US" w:eastAsia="en-US"/>
          <w14:ligatures w14:val="standardContextual"/>
        </w:rPr>
      </w:pPr>
      <w:hyperlink w:anchor="_Toc213137991" w:history="1">
        <w:r w:rsidRPr="007662B1">
          <w:rPr>
            <w:rStyle w:val="Hyperlink"/>
            <w:rFonts w:asciiTheme="minorHAnsi" w:hAnsiTheme="minorHAnsi" w:cstheme="minorHAnsi"/>
            <w:sz w:val="22"/>
            <w:szCs w:val="22"/>
          </w:rPr>
          <w:t>1.4.3</w:t>
        </w:r>
        <w:r w:rsidRPr="007662B1">
          <w:rPr>
            <w:rFonts w:asciiTheme="minorHAnsi" w:eastAsiaTheme="minorEastAsia" w:hAnsiTheme="minorHAnsi" w:cstheme="minorHAnsi"/>
            <w:kern w:val="2"/>
            <w:sz w:val="22"/>
            <w:szCs w:val="22"/>
            <w:lang w:val="en-US" w:eastAsia="en-US"/>
            <w14:ligatures w14:val="standardContextual"/>
          </w:rPr>
          <w:tab/>
        </w:r>
        <w:r w:rsidRPr="007662B1">
          <w:rPr>
            <w:rStyle w:val="Hyperlink"/>
            <w:rFonts w:asciiTheme="minorHAnsi" w:hAnsiTheme="minorHAnsi" w:cstheme="minorHAnsi"/>
            <w:sz w:val="22"/>
            <w:szCs w:val="22"/>
          </w:rPr>
          <w:t>Relationship between NASP and EUR RASP</w:t>
        </w:r>
        <w:r w:rsidRPr="007662B1">
          <w:rPr>
            <w:rFonts w:asciiTheme="minorHAnsi" w:hAnsiTheme="minorHAnsi" w:cstheme="minorHAnsi"/>
            <w:webHidden/>
            <w:sz w:val="22"/>
            <w:szCs w:val="22"/>
          </w:rPr>
          <w:tab/>
        </w:r>
        <w:r w:rsidRPr="007662B1">
          <w:rPr>
            <w:rFonts w:asciiTheme="minorHAnsi" w:hAnsiTheme="minorHAnsi" w:cstheme="minorHAnsi"/>
            <w:webHidden/>
            <w:sz w:val="22"/>
            <w:szCs w:val="22"/>
          </w:rPr>
          <w:fldChar w:fldCharType="begin"/>
        </w:r>
        <w:r w:rsidRPr="007662B1">
          <w:rPr>
            <w:rFonts w:asciiTheme="minorHAnsi" w:hAnsiTheme="minorHAnsi" w:cstheme="minorHAnsi"/>
            <w:webHidden/>
            <w:sz w:val="22"/>
            <w:szCs w:val="22"/>
          </w:rPr>
          <w:instrText xml:space="preserve"> PAGEREF _Toc213137991 \h </w:instrText>
        </w:r>
        <w:r w:rsidRPr="007662B1">
          <w:rPr>
            <w:rFonts w:asciiTheme="minorHAnsi" w:hAnsiTheme="minorHAnsi" w:cstheme="minorHAnsi"/>
            <w:webHidden/>
            <w:sz w:val="22"/>
            <w:szCs w:val="22"/>
          </w:rPr>
        </w:r>
        <w:r w:rsidRPr="007662B1">
          <w:rPr>
            <w:rFonts w:asciiTheme="minorHAnsi" w:hAnsiTheme="minorHAnsi" w:cstheme="minorHAnsi"/>
            <w:webHidden/>
            <w:sz w:val="22"/>
            <w:szCs w:val="22"/>
          </w:rPr>
          <w:fldChar w:fldCharType="separate"/>
        </w:r>
        <w:r w:rsidRPr="007662B1">
          <w:rPr>
            <w:rFonts w:asciiTheme="minorHAnsi" w:hAnsiTheme="minorHAnsi" w:cstheme="minorHAnsi"/>
            <w:webHidden/>
            <w:sz w:val="22"/>
            <w:szCs w:val="22"/>
          </w:rPr>
          <w:t>5</w:t>
        </w:r>
        <w:r w:rsidRPr="007662B1">
          <w:rPr>
            <w:rFonts w:asciiTheme="minorHAnsi" w:hAnsiTheme="minorHAnsi" w:cstheme="minorHAnsi"/>
            <w:webHidden/>
            <w:sz w:val="22"/>
            <w:szCs w:val="22"/>
          </w:rPr>
          <w:fldChar w:fldCharType="end"/>
        </w:r>
      </w:hyperlink>
    </w:p>
    <w:p w14:paraId="7FE74894" w14:textId="5786CE01" w:rsidR="007662B1" w:rsidRPr="007662B1" w:rsidRDefault="007662B1">
      <w:pPr>
        <w:pStyle w:val="TOC2"/>
        <w:rPr>
          <w:rFonts w:eastAsiaTheme="minorEastAsia"/>
          <w:i w:val="0"/>
          <w:kern w:val="2"/>
          <w:sz w:val="22"/>
          <w:szCs w:val="22"/>
          <w:lang w:val="en-US" w:eastAsia="en-US"/>
          <w14:ligatures w14:val="standardContextual"/>
        </w:rPr>
      </w:pPr>
      <w:hyperlink w:anchor="_Toc213137992" w:history="1">
        <w:r w:rsidRPr="007662B1">
          <w:rPr>
            <w:rStyle w:val="Hyperlink"/>
            <w:sz w:val="22"/>
            <w:szCs w:val="22"/>
          </w:rPr>
          <w:t>1.5</w:t>
        </w:r>
        <w:r w:rsidRPr="007662B1">
          <w:rPr>
            <w:rFonts w:eastAsiaTheme="minorEastAsia"/>
            <w:i w:val="0"/>
            <w:kern w:val="2"/>
            <w:sz w:val="22"/>
            <w:szCs w:val="22"/>
            <w:lang w:val="en-US" w:eastAsia="en-US"/>
            <w14:ligatures w14:val="standardContextual"/>
          </w:rPr>
          <w:tab/>
        </w:r>
        <w:r w:rsidRPr="007662B1">
          <w:rPr>
            <w:rStyle w:val="Hyperlink"/>
            <w:sz w:val="22"/>
            <w:szCs w:val="22"/>
          </w:rPr>
          <w:t>Operational context</w:t>
        </w:r>
        <w:r w:rsidRPr="007662B1">
          <w:rPr>
            <w:webHidden/>
            <w:sz w:val="22"/>
            <w:szCs w:val="22"/>
          </w:rPr>
          <w:tab/>
        </w:r>
        <w:r w:rsidRPr="007662B1">
          <w:rPr>
            <w:webHidden/>
            <w:sz w:val="22"/>
            <w:szCs w:val="22"/>
          </w:rPr>
          <w:fldChar w:fldCharType="begin"/>
        </w:r>
        <w:r w:rsidRPr="007662B1">
          <w:rPr>
            <w:webHidden/>
            <w:sz w:val="22"/>
            <w:szCs w:val="22"/>
          </w:rPr>
          <w:instrText xml:space="preserve"> PAGEREF _Toc213137992 \h </w:instrText>
        </w:r>
        <w:r w:rsidRPr="007662B1">
          <w:rPr>
            <w:webHidden/>
            <w:sz w:val="22"/>
            <w:szCs w:val="22"/>
          </w:rPr>
        </w:r>
        <w:r w:rsidRPr="007662B1">
          <w:rPr>
            <w:webHidden/>
            <w:sz w:val="22"/>
            <w:szCs w:val="22"/>
          </w:rPr>
          <w:fldChar w:fldCharType="separate"/>
        </w:r>
        <w:r w:rsidRPr="007662B1">
          <w:rPr>
            <w:webHidden/>
            <w:sz w:val="22"/>
            <w:szCs w:val="22"/>
          </w:rPr>
          <w:t>6</w:t>
        </w:r>
        <w:r w:rsidRPr="007662B1">
          <w:rPr>
            <w:webHidden/>
            <w:sz w:val="22"/>
            <w:szCs w:val="22"/>
          </w:rPr>
          <w:fldChar w:fldCharType="end"/>
        </w:r>
      </w:hyperlink>
    </w:p>
    <w:p w14:paraId="66D8452F" w14:textId="4E08F712" w:rsidR="007662B1" w:rsidRPr="007662B1" w:rsidRDefault="007662B1">
      <w:pPr>
        <w:pStyle w:val="TOC2"/>
        <w:rPr>
          <w:rFonts w:eastAsiaTheme="minorEastAsia"/>
          <w:i w:val="0"/>
          <w:kern w:val="2"/>
          <w:sz w:val="22"/>
          <w:szCs w:val="22"/>
          <w:lang w:val="en-US" w:eastAsia="en-US"/>
          <w14:ligatures w14:val="standardContextual"/>
        </w:rPr>
      </w:pPr>
      <w:hyperlink w:anchor="_Toc213137993" w:history="1">
        <w:r w:rsidRPr="007662B1">
          <w:rPr>
            <w:rStyle w:val="Hyperlink"/>
            <w:sz w:val="22"/>
            <w:szCs w:val="22"/>
          </w:rPr>
          <w:t>1.6</w:t>
        </w:r>
        <w:r w:rsidRPr="007662B1">
          <w:rPr>
            <w:rFonts w:eastAsiaTheme="minorEastAsia"/>
            <w:i w:val="0"/>
            <w:kern w:val="2"/>
            <w:sz w:val="22"/>
            <w:szCs w:val="22"/>
            <w:lang w:val="en-US" w:eastAsia="en-US"/>
            <w14:ligatures w14:val="standardContextual"/>
          </w:rPr>
          <w:tab/>
        </w:r>
        <w:r w:rsidRPr="007662B1">
          <w:rPr>
            <w:rStyle w:val="Hyperlink"/>
            <w:sz w:val="22"/>
            <w:szCs w:val="22"/>
          </w:rPr>
          <w:t>Regional safety issues, goals and targets</w:t>
        </w:r>
        <w:r w:rsidRPr="007662B1">
          <w:rPr>
            <w:webHidden/>
            <w:sz w:val="22"/>
            <w:szCs w:val="22"/>
          </w:rPr>
          <w:tab/>
        </w:r>
        <w:r w:rsidRPr="007662B1">
          <w:rPr>
            <w:webHidden/>
            <w:sz w:val="22"/>
            <w:szCs w:val="22"/>
          </w:rPr>
          <w:fldChar w:fldCharType="begin"/>
        </w:r>
        <w:r w:rsidRPr="007662B1">
          <w:rPr>
            <w:webHidden/>
            <w:sz w:val="22"/>
            <w:szCs w:val="22"/>
          </w:rPr>
          <w:instrText xml:space="preserve"> PAGEREF _Toc213137993 \h </w:instrText>
        </w:r>
        <w:r w:rsidRPr="007662B1">
          <w:rPr>
            <w:webHidden/>
            <w:sz w:val="22"/>
            <w:szCs w:val="22"/>
          </w:rPr>
        </w:r>
        <w:r w:rsidRPr="007662B1">
          <w:rPr>
            <w:webHidden/>
            <w:sz w:val="22"/>
            <w:szCs w:val="22"/>
          </w:rPr>
          <w:fldChar w:fldCharType="separate"/>
        </w:r>
        <w:r w:rsidRPr="007662B1">
          <w:rPr>
            <w:webHidden/>
            <w:sz w:val="22"/>
            <w:szCs w:val="22"/>
          </w:rPr>
          <w:t>9</w:t>
        </w:r>
        <w:r w:rsidRPr="007662B1">
          <w:rPr>
            <w:webHidden/>
            <w:sz w:val="22"/>
            <w:szCs w:val="22"/>
          </w:rPr>
          <w:fldChar w:fldCharType="end"/>
        </w:r>
      </w:hyperlink>
    </w:p>
    <w:p w14:paraId="11E2F9D0" w14:textId="6B6F8017" w:rsidR="007662B1" w:rsidRPr="007662B1" w:rsidRDefault="007662B1">
      <w:pPr>
        <w:pStyle w:val="TOC1"/>
        <w:tabs>
          <w:tab w:val="left" w:pos="1620"/>
        </w:tabs>
        <w:rPr>
          <w:rFonts w:eastAsiaTheme="minorEastAsia"/>
          <w:kern w:val="2"/>
          <w:lang w:val="en-US" w:eastAsia="en-US"/>
          <w14:ligatures w14:val="standardContextual"/>
        </w:rPr>
      </w:pPr>
      <w:hyperlink w:anchor="_Toc213137994" w:history="1">
        <w:r w:rsidRPr="007662B1">
          <w:rPr>
            <w:rStyle w:val="Hyperlink"/>
          </w:rPr>
          <w:t>Section 2</w:t>
        </w:r>
        <w:r w:rsidRPr="007662B1">
          <w:rPr>
            <w:rFonts w:eastAsiaTheme="minorEastAsia"/>
            <w:kern w:val="2"/>
            <w:lang w:val="en-US" w:eastAsia="en-US"/>
            <w14:ligatures w14:val="standardContextual"/>
          </w:rPr>
          <w:tab/>
        </w:r>
        <w:r w:rsidRPr="007662B1">
          <w:rPr>
            <w:rStyle w:val="Hyperlink"/>
          </w:rPr>
          <w:t>Purpose of the EUR Regional Aviation Safety Plan</w:t>
        </w:r>
        <w:r w:rsidRPr="007662B1">
          <w:rPr>
            <w:webHidden/>
          </w:rPr>
          <w:tab/>
        </w:r>
        <w:r w:rsidRPr="007662B1">
          <w:rPr>
            <w:webHidden/>
          </w:rPr>
          <w:fldChar w:fldCharType="begin"/>
        </w:r>
        <w:r w:rsidRPr="007662B1">
          <w:rPr>
            <w:webHidden/>
          </w:rPr>
          <w:instrText xml:space="preserve"> PAGEREF _Toc213137994 \h </w:instrText>
        </w:r>
        <w:r w:rsidRPr="007662B1">
          <w:rPr>
            <w:webHidden/>
          </w:rPr>
        </w:r>
        <w:r w:rsidRPr="007662B1">
          <w:rPr>
            <w:webHidden/>
          </w:rPr>
          <w:fldChar w:fldCharType="separate"/>
        </w:r>
        <w:r w:rsidRPr="007662B1">
          <w:rPr>
            <w:webHidden/>
          </w:rPr>
          <w:t>12</w:t>
        </w:r>
        <w:r w:rsidRPr="007662B1">
          <w:rPr>
            <w:webHidden/>
          </w:rPr>
          <w:fldChar w:fldCharType="end"/>
        </w:r>
      </w:hyperlink>
    </w:p>
    <w:p w14:paraId="4B965CF4" w14:textId="083681C6" w:rsidR="007662B1" w:rsidRPr="007662B1" w:rsidRDefault="007662B1">
      <w:pPr>
        <w:pStyle w:val="TOC1"/>
        <w:tabs>
          <w:tab w:val="left" w:pos="1620"/>
        </w:tabs>
        <w:rPr>
          <w:rFonts w:eastAsiaTheme="minorEastAsia"/>
          <w:kern w:val="2"/>
          <w:lang w:val="en-US" w:eastAsia="en-US"/>
          <w14:ligatures w14:val="standardContextual"/>
        </w:rPr>
      </w:pPr>
      <w:hyperlink w:anchor="_Toc213137995" w:history="1">
        <w:r w:rsidRPr="007662B1">
          <w:rPr>
            <w:rStyle w:val="Hyperlink"/>
          </w:rPr>
          <w:t>Section 3</w:t>
        </w:r>
        <w:r w:rsidRPr="007662B1">
          <w:rPr>
            <w:rFonts w:eastAsiaTheme="minorEastAsia"/>
            <w:kern w:val="2"/>
            <w:lang w:val="en-US" w:eastAsia="en-US"/>
            <w14:ligatures w14:val="standardContextual"/>
          </w:rPr>
          <w:tab/>
        </w:r>
        <w:r w:rsidRPr="007662B1">
          <w:rPr>
            <w:rStyle w:val="Hyperlink"/>
          </w:rPr>
          <w:t>EUR Regional operational safety risks</w:t>
        </w:r>
        <w:r w:rsidRPr="007662B1">
          <w:rPr>
            <w:webHidden/>
          </w:rPr>
          <w:tab/>
        </w:r>
        <w:r w:rsidRPr="007662B1">
          <w:rPr>
            <w:webHidden/>
          </w:rPr>
          <w:fldChar w:fldCharType="begin"/>
        </w:r>
        <w:r w:rsidRPr="007662B1">
          <w:rPr>
            <w:webHidden/>
          </w:rPr>
          <w:instrText xml:space="preserve"> PAGEREF _Toc213137995 \h </w:instrText>
        </w:r>
        <w:r w:rsidRPr="007662B1">
          <w:rPr>
            <w:webHidden/>
          </w:rPr>
        </w:r>
        <w:r w:rsidRPr="007662B1">
          <w:rPr>
            <w:webHidden/>
          </w:rPr>
          <w:fldChar w:fldCharType="separate"/>
        </w:r>
        <w:r w:rsidRPr="007662B1">
          <w:rPr>
            <w:webHidden/>
          </w:rPr>
          <w:t>13</w:t>
        </w:r>
        <w:r w:rsidRPr="007662B1">
          <w:rPr>
            <w:webHidden/>
          </w:rPr>
          <w:fldChar w:fldCharType="end"/>
        </w:r>
      </w:hyperlink>
    </w:p>
    <w:p w14:paraId="6278E5EA" w14:textId="31DCDC61" w:rsidR="007662B1" w:rsidRPr="007662B1" w:rsidRDefault="007662B1">
      <w:pPr>
        <w:pStyle w:val="TOC1"/>
        <w:tabs>
          <w:tab w:val="left" w:pos="1620"/>
        </w:tabs>
        <w:rPr>
          <w:rFonts w:eastAsiaTheme="minorEastAsia"/>
          <w:kern w:val="2"/>
          <w:lang w:val="en-US" w:eastAsia="en-US"/>
          <w14:ligatures w14:val="standardContextual"/>
        </w:rPr>
      </w:pPr>
      <w:hyperlink w:anchor="_Toc213137996" w:history="1">
        <w:r w:rsidRPr="007662B1">
          <w:rPr>
            <w:rStyle w:val="Hyperlink"/>
          </w:rPr>
          <w:t>Section 4</w:t>
        </w:r>
        <w:r w:rsidRPr="007662B1">
          <w:rPr>
            <w:rFonts w:eastAsiaTheme="minorEastAsia"/>
            <w:kern w:val="2"/>
            <w:lang w:val="en-US" w:eastAsia="en-US"/>
            <w14:ligatures w14:val="standardContextual"/>
          </w:rPr>
          <w:tab/>
        </w:r>
        <w:r w:rsidRPr="007662B1">
          <w:rPr>
            <w:rStyle w:val="Hyperlink"/>
          </w:rPr>
          <w:t>Organisational challenges</w:t>
        </w:r>
        <w:r w:rsidRPr="007662B1">
          <w:rPr>
            <w:webHidden/>
          </w:rPr>
          <w:tab/>
        </w:r>
        <w:r w:rsidRPr="007662B1">
          <w:rPr>
            <w:webHidden/>
          </w:rPr>
          <w:fldChar w:fldCharType="begin"/>
        </w:r>
        <w:r w:rsidRPr="007662B1">
          <w:rPr>
            <w:webHidden/>
          </w:rPr>
          <w:instrText xml:space="preserve"> PAGEREF _Toc213137996 \h </w:instrText>
        </w:r>
        <w:r w:rsidRPr="007662B1">
          <w:rPr>
            <w:webHidden/>
          </w:rPr>
        </w:r>
        <w:r w:rsidRPr="007662B1">
          <w:rPr>
            <w:webHidden/>
          </w:rPr>
          <w:fldChar w:fldCharType="separate"/>
        </w:r>
        <w:r w:rsidRPr="007662B1">
          <w:rPr>
            <w:webHidden/>
          </w:rPr>
          <w:t>15</w:t>
        </w:r>
        <w:r w:rsidRPr="007662B1">
          <w:rPr>
            <w:webHidden/>
          </w:rPr>
          <w:fldChar w:fldCharType="end"/>
        </w:r>
      </w:hyperlink>
    </w:p>
    <w:p w14:paraId="531923B7" w14:textId="5A170BA4" w:rsidR="007662B1" w:rsidRPr="007662B1" w:rsidRDefault="007662B1">
      <w:pPr>
        <w:pStyle w:val="TOC2"/>
        <w:rPr>
          <w:rFonts w:eastAsiaTheme="minorEastAsia"/>
          <w:i w:val="0"/>
          <w:kern w:val="2"/>
          <w:sz w:val="22"/>
          <w:szCs w:val="22"/>
          <w:lang w:val="en-US" w:eastAsia="en-US"/>
          <w14:ligatures w14:val="standardContextual"/>
        </w:rPr>
      </w:pPr>
      <w:hyperlink w:anchor="_Toc213137997" w:history="1">
        <w:r w:rsidRPr="007662B1">
          <w:rPr>
            <w:rStyle w:val="Hyperlink"/>
            <w:sz w:val="22"/>
            <w:szCs w:val="22"/>
          </w:rPr>
          <w:t>4.1</w:t>
        </w:r>
        <w:r w:rsidRPr="007662B1">
          <w:rPr>
            <w:rFonts w:eastAsiaTheme="minorEastAsia"/>
            <w:i w:val="0"/>
            <w:kern w:val="2"/>
            <w:sz w:val="22"/>
            <w:szCs w:val="22"/>
            <w:lang w:val="en-US" w:eastAsia="en-US"/>
            <w14:ligatures w14:val="standardContextual"/>
          </w:rPr>
          <w:tab/>
        </w:r>
        <w:r w:rsidRPr="007662B1">
          <w:rPr>
            <w:rStyle w:val="Hyperlink"/>
            <w:sz w:val="22"/>
            <w:szCs w:val="22"/>
          </w:rPr>
          <w:t>Improve safety by improving safety management</w:t>
        </w:r>
        <w:r w:rsidRPr="007662B1">
          <w:rPr>
            <w:webHidden/>
            <w:sz w:val="22"/>
            <w:szCs w:val="22"/>
          </w:rPr>
          <w:tab/>
        </w:r>
        <w:r w:rsidRPr="007662B1">
          <w:rPr>
            <w:webHidden/>
            <w:sz w:val="22"/>
            <w:szCs w:val="22"/>
          </w:rPr>
          <w:fldChar w:fldCharType="begin"/>
        </w:r>
        <w:r w:rsidRPr="007662B1">
          <w:rPr>
            <w:webHidden/>
            <w:sz w:val="22"/>
            <w:szCs w:val="22"/>
          </w:rPr>
          <w:instrText xml:space="preserve"> PAGEREF _Toc213137997 \h </w:instrText>
        </w:r>
        <w:r w:rsidRPr="007662B1">
          <w:rPr>
            <w:webHidden/>
            <w:sz w:val="22"/>
            <w:szCs w:val="22"/>
          </w:rPr>
        </w:r>
        <w:r w:rsidRPr="007662B1">
          <w:rPr>
            <w:webHidden/>
            <w:sz w:val="22"/>
            <w:szCs w:val="22"/>
          </w:rPr>
          <w:fldChar w:fldCharType="separate"/>
        </w:r>
        <w:r w:rsidRPr="007662B1">
          <w:rPr>
            <w:webHidden/>
            <w:sz w:val="22"/>
            <w:szCs w:val="22"/>
          </w:rPr>
          <w:t>15</w:t>
        </w:r>
        <w:r w:rsidRPr="007662B1">
          <w:rPr>
            <w:webHidden/>
            <w:sz w:val="22"/>
            <w:szCs w:val="22"/>
          </w:rPr>
          <w:fldChar w:fldCharType="end"/>
        </w:r>
      </w:hyperlink>
    </w:p>
    <w:p w14:paraId="067BF7EE" w14:textId="79E94434" w:rsidR="007662B1" w:rsidRPr="007662B1" w:rsidRDefault="007662B1">
      <w:pPr>
        <w:pStyle w:val="TOC2"/>
        <w:rPr>
          <w:rFonts w:eastAsiaTheme="minorEastAsia"/>
          <w:i w:val="0"/>
          <w:kern w:val="2"/>
          <w:sz w:val="22"/>
          <w:szCs w:val="22"/>
          <w:lang w:val="en-US" w:eastAsia="en-US"/>
          <w14:ligatures w14:val="standardContextual"/>
        </w:rPr>
      </w:pPr>
      <w:hyperlink w:anchor="_Toc213137998" w:history="1">
        <w:r w:rsidRPr="007662B1">
          <w:rPr>
            <w:rStyle w:val="Hyperlink"/>
            <w:sz w:val="22"/>
            <w:szCs w:val="22"/>
          </w:rPr>
          <w:t>4.2</w:t>
        </w:r>
        <w:r w:rsidRPr="007662B1">
          <w:rPr>
            <w:rFonts w:eastAsiaTheme="minorEastAsia"/>
            <w:i w:val="0"/>
            <w:kern w:val="2"/>
            <w:sz w:val="22"/>
            <w:szCs w:val="22"/>
            <w:lang w:val="en-US" w:eastAsia="en-US"/>
            <w14:ligatures w14:val="standardContextual"/>
          </w:rPr>
          <w:tab/>
        </w:r>
        <w:r w:rsidRPr="007662B1">
          <w:rPr>
            <w:rStyle w:val="Hyperlink"/>
            <w:sz w:val="22"/>
            <w:szCs w:val="22"/>
          </w:rPr>
          <w:t>Human factors and human performance</w:t>
        </w:r>
        <w:r w:rsidRPr="007662B1">
          <w:rPr>
            <w:webHidden/>
            <w:sz w:val="22"/>
            <w:szCs w:val="22"/>
          </w:rPr>
          <w:tab/>
        </w:r>
        <w:r w:rsidRPr="007662B1">
          <w:rPr>
            <w:webHidden/>
            <w:sz w:val="22"/>
            <w:szCs w:val="22"/>
          </w:rPr>
          <w:fldChar w:fldCharType="begin"/>
        </w:r>
        <w:r w:rsidRPr="007662B1">
          <w:rPr>
            <w:webHidden/>
            <w:sz w:val="22"/>
            <w:szCs w:val="22"/>
          </w:rPr>
          <w:instrText xml:space="preserve"> PAGEREF _Toc213137998 \h </w:instrText>
        </w:r>
        <w:r w:rsidRPr="007662B1">
          <w:rPr>
            <w:webHidden/>
            <w:sz w:val="22"/>
            <w:szCs w:val="22"/>
          </w:rPr>
        </w:r>
        <w:r w:rsidRPr="007662B1">
          <w:rPr>
            <w:webHidden/>
            <w:sz w:val="22"/>
            <w:szCs w:val="22"/>
          </w:rPr>
          <w:fldChar w:fldCharType="separate"/>
        </w:r>
        <w:r w:rsidRPr="007662B1">
          <w:rPr>
            <w:webHidden/>
            <w:sz w:val="22"/>
            <w:szCs w:val="22"/>
          </w:rPr>
          <w:t>18</w:t>
        </w:r>
        <w:r w:rsidRPr="007662B1">
          <w:rPr>
            <w:webHidden/>
            <w:sz w:val="22"/>
            <w:szCs w:val="22"/>
          </w:rPr>
          <w:fldChar w:fldCharType="end"/>
        </w:r>
      </w:hyperlink>
    </w:p>
    <w:p w14:paraId="5CE30DC5" w14:textId="30D5E797" w:rsidR="007662B1" w:rsidRPr="007662B1" w:rsidRDefault="007662B1">
      <w:pPr>
        <w:pStyle w:val="TOC2"/>
        <w:rPr>
          <w:rFonts w:eastAsiaTheme="minorEastAsia"/>
          <w:i w:val="0"/>
          <w:kern w:val="2"/>
          <w:sz w:val="22"/>
          <w:szCs w:val="22"/>
          <w:lang w:val="en-US" w:eastAsia="en-US"/>
          <w14:ligatures w14:val="standardContextual"/>
        </w:rPr>
      </w:pPr>
      <w:hyperlink w:anchor="_Toc213137999" w:history="1">
        <w:r w:rsidRPr="007662B1">
          <w:rPr>
            <w:rStyle w:val="Hyperlink"/>
            <w:sz w:val="22"/>
            <w:szCs w:val="22"/>
          </w:rPr>
          <w:t>4.3</w:t>
        </w:r>
        <w:r w:rsidRPr="007662B1">
          <w:rPr>
            <w:rFonts w:eastAsiaTheme="minorEastAsia"/>
            <w:i w:val="0"/>
            <w:kern w:val="2"/>
            <w:sz w:val="22"/>
            <w:szCs w:val="22"/>
            <w:lang w:val="en-US" w:eastAsia="en-US"/>
            <w14:ligatures w14:val="standardContextual"/>
          </w:rPr>
          <w:tab/>
        </w:r>
        <w:r w:rsidRPr="007662B1">
          <w:rPr>
            <w:rStyle w:val="Hyperlink"/>
            <w:sz w:val="22"/>
            <w:szCs w:val="22"/>
          </w:rPr>
          <w:t>Competence of operational personnel</w:t>
        </w:r>
        <w:r w:rsidRPr="007662B1">
          <w:rPr>
            <w:webHidden/>
            <w:sz w:val="22"/>
            <w:szCs w:val="22"/>
          </w:rPr>
          <w:tab/>
        </w:r>
        <w:r w:rsidRPr="007662B1">
          <w:rPr>
            <w:webHidden/>
            <w:sz w:val="22"/>
            <w:szCs w:val="22"/>
          </w:rPr>
          <w:fldChar w:fldCharType="begin"/>
        </w:r>
        <w:r w:rsidRPr="007662B1">
          <w:rPr>
            <w:webHidden/>
            <w:sz w:val="22"/>
            <w:szCs w:val="22"/>
          </w:rPr>
          <w:instrText xml:space="preserve"> PAGEREF _Toc213137999 \h </w:instrText>
        </w:r>
        <w:r w:rsidRPr="007662B1">
          <w:rPr>
            <w:webHidden/>
            <w:sz w:val="22"/>
            <w:szCs w:val="22"/>
          </w:rPr>
        </w:r>
        <w:r w:rsidRPr="007662B1">
          <w:rPr>
            <w:webHidden/>
            <w:sz w:val="22"/>
            <w:szCs w:val="22"/>
          </w:rPr>
          <w:fldChar w:fldCharType="separate"/>
        </w:r>
        <w:r w:rsidRPr="007662B1">
          <w:rPr>
            <w:webHidden/>
            <w:sz w:val="22"/>
            <w:szCs w:val="22"/>
          </w:rPr>
          <w:t>18</w:t>
        </w:r>
        <w:r w:rsidRPr="007662B1">
          <w:rPr>
            <w:webHidden/>
            <w:sz w:val="22"/>
            <w:szCs w:val="22"/>
          </w:rPr>
          <w:fldChar w:fldCharType="end"/>
        </w:r>
      </w:hyperlink>
    </w:p>
    <w:p w14:paraId="0D943422" w14:textId="56E39800" w:rsidR="007662B1" w:rsidRPr="007662B1" w:rsidRDefault="007662B1">
      <w:pPr>
        <w:pStyle w:val="TOC2"/>
        <w:rPr>
          <w:rFonts w:eastAsiaTheme="minorEastAsia"/>
          <w:i w:val="0"/>
          <w:kern w:val="2"/>
          <w:sz w:val="22"/>
          <w:szCs w:val="22"/>
          <w:lang w:val="en-US" w:eastAsia="en-US"/>
          <w14:ligatures w14:val="standardContextual"/>
        </w:rPr>
      </w:pPr>
      <w:hyperlink w:anchor="_Toc213138000" w:history="1">
        <w:r w:rsidRPr="007662B1">
          <w:rPr>
            <w:rStyle w:val="Hyperlink"/>
            <w:sz w:val="22"/>
            <w:szCs w:val="22"/>
          </w:rPr>
          <w:t>4.4</w:t>
        </w:r>
        <w:r w:rsidRPr="007662B1">
          <w:rPr>
            <w:rFonts w:eastAsiaTheme="minorEastAsia"/>
            <w:i w:val="0"/>
            <w:kern w:val="2"/>
            <w:sz w:val="22"/>
            <w:szCs w:val="22"/>
            <w:lang w:val="en-US" w:eastAsia="en-US"/>
            <w14:ligatures w14:val="standardContextual"/>
          </w:rPr>
          <w:tab/>
        </w:r>
        <w:r w:rsidRPr="007662B1">
          <w:rPr>
            <w:rStyle w:val="Hyperlink"/>
            <w:sz w:val="22"/>
            <w:szCs w:val="22"/>
          </w:rPr>
          <w:t>Impact of security on safety</w:t>
        </w:r>
        <w:r w:rsidRPr="007662B1">
          <w:rPr>
            <w:webHidden/>
            <w:sz w:val="22"/>
            <w:szCs w:val="22"/>
          </w:rPr>
          <w:tab/>
        </w:r>
        <w:r w:rsidRPr="007662B1">
          <w:rPr>
            <w:webHidden/>
            <w:sz w:val="22"/>
            <w:szCs w:val="22"/>
          </w:rPr>
          <w:fldChar w:fldCharType="begin"/>
        </w:r>
        <w:r w:rsidRPr="007662B1">
          <w:rPr>
            <w:webHidden/>
            <w:sz w:val="22"/>
            <w:szCs w:val="22"/>
          </w:rPr>
          <w:instrText xml:space="preserve"> PAGEREF _Toc213138000 \h </w:instrText>
        </w:r>
        <w:r w:rsidRPr="007662B1">
          <w:rPr>
            <w:webHidden/>
            <w:sz w:val="22"/>
            <w:szCs w:val="22"/>
          </w:rPr>
        </w:r>
        <w:r w:rsidRPr="007662B1">
          <w:rPr>
            <w:webHidden/>
            <w:sz w:val="22"/>
            <w:szCs w:val="22"/>
          </w:rPr>
          <w:fldChar w:fldCharType="separate"/>
        </w:r>
        <w:r w:rsidRPr="007662B1">
          <w:rPr>
            <w:webHidden/>
            <w:sz w:val="22"/>
            <w:szCs w:val="22"/>
          </w:rPr>
          <w:t>19</w:t>
        </w:r>
        <w:r w:rsidRPr="007662B1">
          <w:rPr>
            <w:webHidden/>
            <w:sz w:val="22"/>
            <w:szCs w:val="22"/>
          </w:rPr>
          <w:fldChar w:fldCharType="end"/>
        </w:r>
      </w:hyperlink>
    </w:p>
    <w:p w14:paraId="09A0AF9B" w14:textId="00094A7F" w:rsidR="007662B1" w:rsidRPr="007662B1" w:rsidRDefault="007662B1">
      <w:pPr>
        <w:pStyle w:val="TOC2"/>
        <w:rPr>
          <w:rFonts w:eastAsiaTheme="minorEastAsia"/>
          <w:i w:val="0"/>
          <w:kern w:val="2"/>
          <w:sz w:val="22"/>
          <w:szCs w:val="22"/>
          <w:lang w:val="en-US" w:eastAsia="en-US"/>
          <w14:ligatures w14:val="standardContextual"/>
        </w:rPr>
      </w:pPr>
      <w:hyperlink w:anchor="_Toc213138001" w:history="1">
        <w:r w:rsidRPr="007662B1">
          <w:rPr>
            <w:rStyle w:val="Hyperlink"/>
            <w:sz w:val="22"/>
            <w:szCs w:val="22"/>
          </w:rPr>
          <w:t>4.5</w:t>
        </w:r>
        <w:r w:rsidRPr="007662B1">
          <w:rPr>
            <w:rFonts w:eastAsiaTheme="minorEastAsia"/>
            <w:i w:val="0"/>
            <w:kern w:val="2"/>
            <w:sz w:val="22"/>
            <w:szCs w:val="22"/>
            <w:lang w:val="en-US" w:eastAsia="en-US"/>
            <w14:ligatures w14:val="standardContextual"/>
          </w:rPr>
          <w:tab/>
        </w:r>
        <w:r w:rsidRPr="007662B1">
          <w:rPr>
            <w:rStyle w:val="Hyperlink"/>
            <w:sz w:val="22"/>
            <w:szCs w:val="22"/>
          </w:rPr>
          <w:t>Civil-military coordination and cooperation</w:t>
        </w:r>
        <w:r w:rsidRPr="007662B1">
          <w:rPr>
            <w:webHidden/>
            <w:sz w:val="22"/>
            <w:szCs w:val="22"/>
          </w:rPr>
          <w:tab/>
        </w:r>
        <w:r w:rsidRPr="007662B1">
          <w:rPr>
            <w:webHidden/>
            <w:sz w:val="22"/>
            <w:szCs w:val="22"/>
          </w:rPr>
          <w:fldChar w:fldCharType="begin"/>
        </w:r>
        <w:r w:rsidRPr="007662B1">
          <w:rPr>
            <w:webHidden/>
            <w:sz w:val="22"/>
            <w:szCs w:val="22"/>
          </w:rPr>
          <w:instrText xml:space="preserve"> PAGEREF _Toc213138001 \h </w:instrText>
        </w:r>
        <w:r w:rsidRPr="007662B1">
          <w:rPr>
            <w:webHidden/>
            <w:sz w:val="22"/>
            <w:szCs w:val="22"/>
          </w:rPr>
        </w:r>
        <w:r w:rsidRPr="007662B1">
          <w:rPr>
            <w:webHidden/>
            <w:sz w:val="22"/>
            <w:szCs w:val="22"/>
          </w:rPr>
          <w:fldChar w:fldCharType="separate"/>
        </w:r>
        <w:r w:rsidRPr="007662B1">
          <w:rPr>
            <w:webHidden/>
            <w:sz w:val="22"/>
            <w:szCs w:val="22"/>
          </w:rPr>
          <w:t>21</w:t>
        </w:r>
        <w:r w:rsidRPr="007662B1">
          <w:rPr>
            <w:webHidden/>
            <w:sz w:val="22"/>
            <w:szCs w:val="22"/>
          </w:rPr>
          <w:fldChar w:fldCharType="end"/>
        </w:r>
      </w:hyperlink>
    </w:p>
    <w:p w14:paraId="747D8A13" w14:textId="431E2FEF" w:rsidR="007662B1" w:rsidRPr="007662B1" w:rsidRDefault="007662B1">
      <w:pPr>
        <w:pStyle w:val="TOC1"/>
        <w:tabs>
          <w:tab w:val="left" w:pos="1620"/>
        </w:tabs>
        <w:rPr>
          <w:rFonts w:eastAsiaTheme="minorEastAsia"/>
          <w:kern w:val="2"/>
          <w:lang w:val="en-US" w:eastAsia="en-US"/>
          <w14:ligatures w14:val="standardContextual"/>
        </w:rPr>
      </w:pPr>
      <w:hyperlink w:anchor="_Toc213138002" w:history="1">
        <w:r w:rsidRPr="007662B1">
          <w:rPr>
            <w:rStyle w:val="Hyperlink"/>
          </w:rPr>
          <w:t>Section 5</w:t>
        </w:r>
        <w:r w:rsidRPr="007662B1">
          <w:rPr>
            <w:rFonts w:eastAsiaTheme="minorEastAsia"/>
            <w:kern w:val="2"/>
            <w:lang w:val="en-US" w:eastAsia="en-US"/>
            <w14:ligatures w14:val="standardContextual"/>
          </w:rPr>
          <w:tab/>
        </w:r>
        <w:r w:rsidRPr="007662B1">
          <w:rPr>
            <w:rStyle w:val="Hyperlink"/>
          </w:rPr>
          <w:t>Strategic direction for the management of aviation safety</w:t>
        </w:r>
        <w:r w:rsidRPr="007662B1">
          <w:rPr>
            <w:webHidden/>
          </w:rPr>
          <w:tab/>
        </w:r>
        <w:r w:rsidRPr="007662B1">
          <w:rPr>
            <w:webHidden/>
          </w:rPr>
          <w:fldChar w:fldCharType="begin"/>
        </w:r>
        <w:r w:rsidRPr="007662B1">
          <w:rPr>
            <w:webHidden/>
          </w:rPr>
          <w:instrText xml:space="preserve"> PAGEREF _Toc213138002 \h </w:instrText>
        </w:r>
        <w:r w:rsidRPr="007662B1">
          <w:rPr>
            <w:webHidden/>
          </w:rPr>
        </w:r>
        <w:r w:rsidRPr="007662B1">
          <w:rPr>
            <w:webHidden/>
          </w:rPr>
          <w:fldChar w:fldCharType="separate"/>
        </w:r>
        <w:r w:rsidRPr="007662B1">
          <w:rPr>
            <w:webHidden/>
          </w:rPr>
          <w:t>23</w:t>
        </w:r>
        <w:r w:rsidRPr="007662B1">
          <w:rPr>
            <w:webHidden/>
          </w:rPr>
          <w:fldChar w:fldCharType="end"/>
        </w:r>
      </w:hyperlink>
    </w:p>
    <w:p w14:paraId="0F26E0A9" w14:textId="42676991" w:rsidR="007662B1" w:rsidRPr="007662B1" w:rsidRDefault="007662B1">
      <w:pPr>
        <w:pStyle w:val="TOC1"/>
        <w:tabs>
          <w:tab w:val="left" w:pos="1620"/>
        </w:tabs>
        <w:rPr>
          <w:rFonts w:eastAsiaTheme="minorEastAsia"/>
          <w:kern w:val="2"/>
          <w:lang w:val="en-US" w:eastAsia="en-US"/>
          <w14:ligatures w14:val="standardContextual"/>
        </w:rPr>
      </w:pPr>
      <w:hyperlink w:anchor="_Toc213138003" w:history="1">
        <w:r w:rsidRPr="007662B1">
          <w:rPr>
            <w:rStyle w:val="Hyperlink"/>
          </w:rPr>
          <w:t>Section 6</w:t>
        </w:r>
        <w:r w:rsidRPr="007662B1">
          <w:rPr>
            <w:rFonts w:eastAsiaTheme="minorEastAsia"/>
            <w:kern w:val="2"/>
            <w:lang w:val="en-US" w:eastAsia="en-US"/>
            <w14:ligatures w14:val="standardContextual"/>
          </w:rPr>
          <w:tab/>
        </w:r>
        <w:r w:rsidRPr="007662B1">
          <w:rPr>
            <w:rStyle w:val="Hyperlink"/>
          </w:rPr>
          <w:t>Monitoring implementation of the EUR RASP</w:t>
        </w:r>
        <w:r w:rsidRPr="007662B1">
          <w:rPr>
            <w:webHidden/>
          </w:rPr>
          <w:tab/>
        </w:r>
        <w:r w:rsidRPr="007662B1">
          <w:rPr>
            <w:webHidden/>
          </w:rPr>
          <w:fldChar w:fldCharType="begin"/>
        </w:r>
        <w:r w:rsidRPr="007662B1">
          <w:rPr>
            <w:webHidden/>
          </w:rPr>
          <w:instrText xml:space="preserve"> PAGEREF _Toc213138003 \h </w:instrText>
        </w:r>
        <w:r w:rsidRPr="007662B1">
          <w:rPr>
            <w:webHidden/>
          </w:rPr>
        </w:r>
        <w:r w:rsidRPr="007662B1">
          <w:rPr>
            <w:webHidden/>
          </w:rPr>
          <w:fldChar w:fldCharType="separate"/>
        </w:r>
        <w:r w:rsidRPr="007662B1">
          <w:rPr>
            <w:webHidden/>
          </w:rPr>
          <w:t>31</w:t>
        </w:r>
        <w:r w:rsidRPr="007662B1">
          <w:rPr>
            <w:webHidden/>
          </w:rPr>
          <w:fldChar w:fldCharType="end"/>
        </w:r>
      </w:hyperlink>
    </w:p>
    <w:p w14:paraId="61855A48" w14:textId="6B30D0B1" w:rsidR="007662B1" w:rsidRPr="007662B1" w:rsidRDefault="007662B1">
      <w:pPr>
        <w:pStyle w:val="TOC1"/>
        <w:rPr>
          <w:rFonts w:eastAsiaTheme="minorEastAsia"/>
          <w:kern w:val="2"/>
          <w:lang w:val="en-US" w:eastAsia="en-US"/>
          <w14:ligatures w14:val="standardContextual"/>
        </w:rPr>
      </w:pPr>
      <w:hyperlink w:anchor="_Toc213138004" w:history="1">
        <w:r w:rsidRPr="007662B1">
          <w:rPr>
            <w:rStyle w:val="Hyperlink"/>
          </w:rPr>
          <w:t>Appendix 1: How individual safety actions are presented</w:t>
        </w:r>
        <w:r w:rsidRPr="007662B1">
          <w:rPr>
            <w:webHidden/>
          </w:rPr>
          <w:tab/>
        </w:r>
        <w:r w:rsidRPr="007662B1">
          <w:rPr>
            <w:webHidden/>
          </w:rPr>
          <w:fldChar w:fldCharType="begin"/>
        </w:r>
        <w:r w:rsidRPr="007662B1">
          <w:rPr>
            <w:webHidden/>
          </w:rPr>
          <w:instrText xml:space="preserve"> PAGEREF _Toc213138004 \h </w:instrText>
        </w:r>
        <w:r w:rsidRPr="007662B1">
          <w:rPr>
            <w:webHidden/>
          </w:rPr>
        </w:r>
        <w:r w:rsidRPr="007662B1">
          <w:rPr>
            <w:webHidden/>
          </w:rPr>
          <w:fldChar w:fldCharType="separate"/>
        </w:r>
        <w:r w:rsidRPr="007662B1">
          <w:rPr>
            <w:webHidden/>
          </w:rPr>
          <w:t>32</w:t>
        </w:r>
        <w:r w:rsidRPr="007662B1">
          <w:rPr>
            <w:webHidden/>
          </w:rPr>
          <w:fldChar w:fldCharType="end"/>
        </w:r>
      </w:hyperlink>
    </w:p>
    <w:p w14:paraId="779F10DB" w14:textId="680C4174" w:rsidR="00A87553" w:rsidRPr="006F27D1" w:rsidRDefault="00D873CB">
      <w:pPr>
        <w:rPr>
          <w:rFonts w:asciiTheme="minorHAnsi" w:hAnsiTheme="minorHAnsi"/>
          <w:sz w:val="22"/>
          <w:szCs w:val="22"/>
        </w:rPr>
      </w:pPr>
      <w:r w:rsidRPr="007662B1">
        <w:rPr>
          <w:rFonts w:asciiTheme="minorHAnsi" w:hAnsiTheme="minorHAnsi" w:cstheme="minorHAnsi"/>
          <w:sz w:val="22"/>
          <w:szCs w:val="22"/>
        </w:rPr>
        <w:fldChar w:fldCharType="end"/>
      </w:r>
    </w:p>
    <w:p w14:paraId="2CADF0C4" w14:textId="77777777" w:rsidR="00C73A41" w:rsidRPr="006F27D1" w:rsidRDefault="00C73A41" w:rsidP="00200487">
      <w:pPr>
        <w:spacing w:after="120"/>
        <w:jc w:val="both"/>
        <w:rPr>
          <w:rFonts w:asciiTheme="minorHAnsi" w:hAnsiTheme="minorHAnsi" w:cstheme="majorHAnsi"/>
          <w:sz w:val="22"/>
          <w:szCs w:val="22"/>
        </w:rPr>
        <w:sectPr w:rsidR="00C73A41" w:rsidRPr="006F27D1" w:rsidSect="0040326A">
          <w:headerReference w:type="default" r:id="rId15"/>
          <w:headerReference w:type="first" r:id="rId16"/>
          <w:pgSz w:w="11906" w:h="16838" w:code="9"/>
          <w:pgMar w:top="1134" w:right="1134" w:bottom="902" w:left="1134" w:header="709" w:footer="493" w:gutter="0"/>
          <w:cols w:space="708"/>
          <w:titlePg/>
          <w:docGrid w:linePitch="360"/>
        </w:sectPr>
      </w:pPr>
    </w:p>
    <w:p w14:paraId="4E4D5E33" w14:textId="77777777" w:rsidR="007249D7" w:rsidRPr="00631EF6" w:rsidRDefault="007249D7">
      <w:pPr>
        <w:pStyle w:val="Heading1"/>
        <w:numPr>
          <w:ilvl w:val="0"/>
          <w:numId w:val="34"/>
        </w:numPr>
      </w:pPr>
      <w:bookmarkStart w:id="0" w:name="_Toc487783452"/>
      <w:bookmarkStart w:id="1" w:name="_Toc482260439"/>
      <w:bookmarkStart w:id="2" w:name="_Toc482623151"/>
      <w:bookmarkStart w:id="3" w:name="_Toc482707178"/>
      <w:bookmarkStart w:id="4" w:name="_Toc482260440"/>
      <w:bookmarkStart w:id="5" w:name="_Toc482623152"/>
      <w:bookmarkStart w:id="6" w:name="_Toc482707179"/>
      <w:bookmarkStart w:id="7" w:name="_Toc482260441"/>
      <w:bookmarkStart w:id="8" w:name="_Toc482623153"/>
      <w:bookmarkStart w:id="9" w:name="_Toc482707180"/>
      <w:bookmarkStart w:id="10" w:name="_Toc482260442"/>
      <w:bookmarkStart w:id="11" w:name="_Toc482623154"/>
      <w:bookmarkStart w:id="12" w:name="_Toc482707181"/>
      <w:bookmarkStart w:id="13" w:name="_Toc482260443"/>
      <w:bookmarkStart w:id="14" w:name="_Toc482623155"/>
      <w:bookmarkStart w:id="15" w:name="_Toc482707182"/>
      <w:bookmarkStart w:id="16" w:name="_Toc482260444"/>
      <w:bookmarkStart w:id="17" w:name="_Toc482623156"/>
      <w:bookmarkStart w:id="18" w:name="_Toc482707183"/>
      <w:bookmarkStart w:id="19" w:name="_Toc482260445"/>
      <w:bookmarkStart w:id="20" w:name="_Toc482623157"/>
      <w:bookmarkStart w:id="21" w:name="_Toc482707184"/>
      <w:bookmarkStart w:id="22" w:name="_Toc482260446"/>
      <w:bookmarkStart w:id="23" w:name="_Toc482623158"/>
      <w:bookmarkStart w:id="24" w:name="_Toc482707185"/>
      <w:bookmarkStart w:id="25" w:name="_Toc482260447"/>
      <w:bookmarkStart w:id="26" w:name="_Toc482623159"/>
      <w:bookmarkStart w:id="27" w:name="_Toc482707186"/>
      <w:bookmarkStart w:id="28" w:name="_Toc482260448"/>
      <w:bookmarkStart w:id="29" w:name="_Toc482623160"/>
      <w:bookmarkStart w:id="30" w:name="_Toc482707187"/>
      <w:bookmarkStart w:id="31" w:name="_Toc482260449"/>
      <w:bookmarkStart w:id="32" w:name="_Toc482623161"/>
      <w:bookmarkStart w:id="33" w:name="_Toc482707188"/>
      <w:bookmarkStart w:id="34" w:name="_Toc482260450"/>
      <w:bookmarkStart w:id="35" w:name="_Toc482623162"/>
      <w:bookmarkStart w:id="36" w:name="_Toc482707189"/>
      <w:bookmarkStart w:id="37" w:name="_Toc482260451"/>
      <w:bookmarkStart w:id="38" w:name="_Toc482623163"/>
      <w:bookmarkStart w:id="39" w:name="_Toc482707190"/>
      <w:bookmarkStart w:id="40" w:name="_Toc482260452"/>
      <w:bookmarkStart w:id="41" w:name="_Toc482623164"/>
      <w:bookmarkStart w:id="42" w:name="_Toc482707191"/>
      <w:bookmarkStart w:id="43" w:name="_Toc482260453"/>
      <w:bookmarkStart w:id="44" w:name="_Toc482623165"/>
      <w:bookmarkStart w:id="45" w:name="_Toc482707192"/>
      <w:bookmarkStart w:id="46" w:name="_Toc482260454"/>
      <w:bookmarkStart w:id="47" w:name="_Toc482623166"/>
      <w:bookmarkStart w:id="48" w:name="_Toc482707193"/>
      <w:bookmarkStart w:id="49" w:name="_Toc482260455"/>
      <w:bookmarkStart w:id="50" w:name="_Toc482623167"/>
      <w:bookmarkStart w:id="51" w:name="_Toc482707194"/>
      <w:bookmarkStart w:id="52" w:name="_Toc482260456"/>
      <w:bookmarkStart w:id="53" w:name="_Toc482623168"/>
      <w:bookmarkStart w:id="54" w:name="_Toc482707195"/>
      <w:bookmarkStart w:id="55" w:name="_Toc32504585"/>
      <w:bookmarkStart w:id="56" w:name="_Toc2131379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631EF6">
        <w:lastRenderedPageBreak/>
        <w:t>Introduction</w:t>
      </w:r>
      <w:bookmarkEnd w:id="55"/>
      <w:bookmarkEnd w:id="56"/>
    </w:p>
    <w:p w14:paraId="09239DED" w14:textId="7946DEC7" w:rsidR="00EC0041" w:rsidRPr="005D49E0" w:rsidRDefault="005900CC">
      <w:pPr>
        <w:pStyle w:val="Heading2"/>
        <w:numPr>
          <w:ilvl w:val="1"/>
          <w:numId w:val="33"/>
        </w:numPr>
        <w:ind w:left="567" w:hanging="567"/>
      </w:pPr>
      <w:bookmarkStart w:id="57" w:name="_Toc487728624"/>
      <w:bookmarkStart w:id="58" w:name="_Toc487783455"/>
      <w:bookmarkStart w:id="59" w:name="_Toc487728625"/>
      <w:bookmarkStart w:id="60" w:name="_Toc487783456"/>
      <w:bookmarkStart w:id="61" w:name="_Toc487728626"/>
      <w:bookmarkStart w:id="62" w:name="_Toc487783457"/>
      <w:bookmarkStart w:id="63" w:name="_Toc487728627"/>
      <w:bookmarkStart w:id="64" w:name="_Toc487783458"/>
      <w:bookmarkStart w:id="65" w:name="_Toc487728628"/>
      <w:bookmarkStart w:id="66" w:name="_Toc487783459"/>
      <w:bookmarkStart w:id="67" w:name="_Toc487728629"/>
      <w:bookmarkStart w:id="68" w:name="_Toc487783460"/>
      <w:bookmarkStart w:id="69" w:name="_Toc32504586"/>
      <w:bookmarkStart w:id="70" w:name="_Toc213137985"/>
      <w:bookmarkEnd w:id="57"/>
      <w:bookmarkEnd w:id="58"/>
      <w:bookmarkEnd w:id="59"/>
      <w:bookmarkEnd w:id="60"/>
      <w:bookmarkEnd w:id="61"/>
      <w:bookmarkEnd w:id="62"/>
      <w:bookmarkEnd w:id="63"/>
      <w:bookmarkEnd w:id="64"/>
      <w:bookmarkEnd w:id="65"/>
      <w:bookmarkEnd w:id="66"/>
      <w:bookmarkEnd w:id="67"/>
      <w:bookmarkEnd w:id="68"/>
      <w:r w:rsidRPr="005D49E0">
        <w:t>Overview of the EUR RASP</w:t>
      </w:r>
      <w:bookmarkEnd w:id="69"/>
      <w:bookmarkEnd w:id="70"/>
    </w:p>
    <w:p w14:paraId="220A4526" w14:textId="76D8C466" w:rsidR="00A66D77" w:rsidRDefault="00A66D77" w:rsidP="00A66D77">
      <w:pPr>
        <w:pStyle w:val="Standardtext"/>
      </w:pPr>
      <w:r>
        <w:t>The ICAO European (EUR) Region is committed to enhancing aviation safety, supporting activities, and increasing collaboration at the regional level. The purpose of this European Regional Aviation Safety Plan (EUR RASP) is to continually reduce fatalities and the risk of fatalities through the development and implementation of a regional aviation safety strategy. A safe, resilient, and sustainable aviation system contributes to the economic development of the EUR Region, its States, and their industries.</w:t>
      </w:r>
    </w:p>
    <w:p w14:paraId="7F0B84E3" w14:textId="77777777" w:rsidR="00A66D77" w:rsidRDefault="00A66D77" w:rsidP="00A66D77">
      <w:pPr>
        <w:pStyle w:val="Standardtext"/>
      </w:pPr>
      <w:r>
        <w:t xml:space="preserve">The EUR RASP promotes the effective implementation of safety oversight systems of States in the EUR Region, a risk-based approach to managing safety at the regional level, and a coordinated approach to collaboration between States and industry. All stakeholders are encouraged to support and implement </w:t>
      </w:r>
      <w:proofErr w:type="gramStart"/>
      <w:r>
        <w:t>the EUR</w:t>
      </w:r>
      <w:proofErr w:type="gramEnd"/>
      <w:r>
        <w:t xml:space="preserve"> RASP as the regional strategy for the continuous improvement of aviation safety.</w:t>
      </w:r>
    </w:p>
    <w:p w14:paraId="77F6009B" w14:textId="54C19AE3" w:rsidR="00A66D77" w:rsidRPr="005900CC" w:rsidRDefault="00A66D77" w:rsidP="00A66D77">
      <w:pPr>
        <w:pStyle w:val="Standardtext"/>
        <w:rPr>
          <w:strike/>
        </w:rPr>
      </w:pPr>
      <w:r>
        <w:t>The EUR RASP aligns with the International Civil Aviation Organization (ICAO) Global Aviation Safety Plan (GASP, Doc 10004</w:t>
      </w:r>
      <w:r w:rsidRPr="005D49E0">
        <w:t>)</w:t>
      </w:r>
      <w:r w:rsidR="005900CC" w:rsidRPr="005D49E0">
        <w:t>, European Plan for Aviation Safety (EPAS)</w:t>
      </w:r>
      <w:r>
        <w:t xml:space="preserve"> and the national aviation safety plans of States in the region. </w:t>
      </w:r>
    </w:p>
    <w:p w14:paraId="0CB535E3" w14:textId="77777777" w:rsidR="005900CC" w:rsidRDefault="005900CC">
      <w:pPr>
        <w:pStyle w:val="Heading2"/>
        <w:numPr>
          <w:ilvl w:val="1"/>
          <w:numId w:val="33"/>
        </w:numPr>
        <w:ind w:left="567" w:hanging="567"/>
      </w:pPr>
      <w:bookmarkStart w:id="71" w:name="_Toc185317571"/>
      <w:bookmarkStart w:id="72" w:name="_Toc213137986"/>
      <w:bookmarkStart w:id="73" w:name="_Toc32504587"/>
      <w:r w:rsidRPr="00746C59">
        <w:t>Structure of the RASP</w:t>
      </w:r>
      <w:bookmarkEnd w:id="71"/>
      <w:bookmarkEnd w:id="72"/>
    </w:p>
    <w:p w14:paraId="6D944330" w14:textId="3FAE9E81" w:rsidR="005900CC" w:rsidRPr="005900CC" w:rsidRDefault="005900CC" w:rsidP="005900CC">
      <w:pPr>
        <w:rPr>
          <w:rFonts w:ascii="Calibri" w:hAnsi="Calibri" w:cs="Calibri"/>
          <w:color w:val="000000"/>
          <w:sz w:val="22"/>
          <w:szCs w:val="22"/>
          <w:lang w:val="en-US"/>
        </w:rPr>
      </w:pPr>
      <w:r w:rsidRPr="005D49E0">
        <w:rPr>
          <w:rFonts w:ascii="Calibri" w:hAnsi="Calibri" w:cs="Calibri"/>
          <w:color w:val="000000"/>
          <w:sz w:val="22"/>
          <w:szCs w:val="22"/>
          <w:lang w:val="en-US"/>
        </w:rPr>
        <w:t>The EUR RASP presents the regional direction for the management of aviation safety at the regional level, for a period of 3 years –2026–2028.</w:t>
      </w:r>
      <w:r w:rsidRPr="005900CC">
        <w:rPr>
          <w:rFonts w:ascii="Calibri" w:hAnsi="Calibri" w:cs="Calibri"/>
          <w:color w:val="000000"/>
          <w:sz w:val="22"/>
          <w:szCs w:val="22"/>
          <w:lang w:val="en-US"/>
        </w:rPr>
        <w:t xml:space="preserve"> </w:t>
      </w:r>
    </w:p>
    <w:p w14:paraId="691D15E0" w14:textId="77777777" w:rsidR="005900CC" w:rsidRPr="005900CC" w:rsidRDefault="005900CC" w:rsidP="005900CC">
      <w:pPr>
        <w:rPr>
          <w:rFonts w:ascii="Calibri" w:hAnsi="Calibri" w:cs="Calibri"/>
          <w:color w:val="000000"/>
          <w:sz w:val="22"/>
          <w:szCs w:val="22"/>
          <w:lang w:val="en-US"/>
        </w:rPr>
      </w:pPr>
    </w:p>
    <w:p w14:paraId="5668D0DF" w14:textId="77777777" w:rsidR="005900CC" w:rsidRPr="00F66960" w:rsidRDefault="005900CC" w:rsidP="005900CC">
      <w:pPr>
        <w:pStyle w:val="Standardtext"/>
      </w:pPr>
      <w:r w:rsidRPr="00F66960">
        <w:t>The EUR RASP 2026 – 2028 is composed of two distinct volumes.</w:t>
      </w:r>
    </w:p>
    <w:p w14:paraId="0E21E6C3" w14:textId="53EA4697" w:rsidR="005900CC" w:rsidRPr="00F66960" w:rsidRDefault="005900CC" w:rsidP="005900CC">
      <w:pPr>
        <w:pStyle w:val="Standardtext"/>
      </w:pPr>
      <w:r w:rsidRPr="00F66960">
        <w:t xml:space="preserve">In Volume I of the EUR RASP the strategic environment is presented. It consists of </w:t>
      </w:r>
      <w:r w:rsidR="002C4700">
        <w:t>six</w:t>
      </w:r>
      <w:r w:rsidR="002C4700" w:rsidRPr="00F66960">
        <w:t xml:space="preserve"> </w:t>
      </w:r>
      <w:r w:rsidR="002C4700">
        <w:t>sections</w:t>
      </w:r>
      <w:r w:rsidR="002C4700" w:rsidRPr="00F66960">
        <w:t xml:space="preserve"> </w:t>
      </w:r>
      <w:r w:rsidRPr="00F66960">
        <w:t>and provides the executive summary, the introduction, the interdependencies with other plans (e.g. GASP, EPAS), a description of the overall strategy on improving aviation safety</w:t>
      </w:r>
      <w:r w:rsidR="002C4700">
        <w:t xml:space="preserve">, </w:t>
      </w:r>
      <w:r w:rsidR="002C4700">
        <w:rPr>
          <w:lang w:val="en-GB"/>
        </w:rPr>
        <w:t>the regional risk and organisational challenges,</w:t>
      </w:r>
      <w:r w:rsidRPr="00F66960">
        <w:t xml:space="preserve"> the EUR Safety Performance Indicators</w:t>
      </w:r>
      <w:r w:rsidR="002C4700" w:rsidRPr="002C4700">
        <w:rPr>
          <w:lang w:val="en-GB"/>
        </w:rPr>
        <w:t xml:space="preserve"> </w:t>
      </w:r>
      <w:r w:rsidR="002C4700" w:rsidRPr="00C278FD">
        <w:rPr>
          <w:lang w:val="en-GB"/>
        </w:rPr>
        <w:t>and</w:t>
      </w:r>
      <w:r w:rsidR="002C4700">
        <w:rPr>
          <w:lang w:val="en-GB"/>
        </w:rPr>
        <w:t xml:space="preserve"> how the implementation of the </w:t>
      </w:r>
      <w:r w:rsidR="000439E2">
        <w:rPr>
          <w:lang w:val="en-GB"/>
        </w:rPr>
        <w:t xml:space="preserve">safety actions </w:t>
      </w:r>
      <w:r w:rsidR="002C4700">
        <w:rPr>
          <w:lang w:val="en-GB"/>
        </w:rPr>
        <w:t>is monitored</w:t>
      </w:r>
      <w:r w:rsidRPr="00F66960">
        <w:t xml:space="preserve">. </w:t>
      </w:r>
    </w:p>
    <w:p w14:paraId="459E81F5" w14:textId="7AA5320A" w:rsidR="005900CC" w:rsidRDefault="005900CC" w:rsidP="005900CC">
      <w:pPr>
        <w:pStyle w:val="Standardtext"/>
      </w:pPr>
      <w:r w:rsidRPr="00F66960">
        <w:t xml:space="preserve">Volume II contains the detailed EUR RASP safety actions. It </w:t>
      </w:r>
      <w:r w:rsidR="000439E2">
        <w:t xml:space="preserve">is </w:t>
      </w:r>
      <w:r w:rsidRPr="00F66960">
        <w:t xml:space="preserve">grouped into 12 dedicated operational domains. To present the safety actions </w:t>
      </w:r>
      <w:r w:rsidR="002C4700">
        <w:rPr>
          <w:lang w:val="en-GB"/>
        </w:rPr>
        <w:t xml:space="preserve">in a uniform way </w:t>
      </w:r>
      <w:r w:rsidRPr="00F66960">
        <w:t>a dedicated template is developed. This template show</w:t>
      </w:r>
      <w:r w:rsidR="002C4700">
        <w:t>s</w:t>
      </w:r>
      <w:r w:rsidRPr="00F66960">
        <w:t xml:space="preserve"> the actual status of the action, references and dependencies to other plans or documents, the owner of the action and the affected aviation stakeholders as well the deliverables (what should be achieved or what should be implanted) with a dedicated implementation deadline. If applicable, changes to the safety action (e.g. if an update or change from one revision to another is necessary) and how the successful implementation will be monitored/measured are mentioned. The template with a detailed description of each information provided is presented in Appendix </w:t>
      </w:r>
      <w:r w:rsidR="003248BE">
        <w:t>1</w:t>
      </w:r>
      <w:r w:rsidRPr="00F66960">
        <w:t xml:space="preserve"> to Volume I of the EUR RASP 2026-2028.</w:t>
      </w:r>
    </w:p>
    <w:p w14:paraId="45C7258E" w14:textId="0F153F74" w:rsidR="00AB26F4" w:rsidRPr="005D49E0" w:rsidRDefault="00FC7E77">
      <w:pPr>
        <w:pStyle w:val="Heading2"/>
        <w:numPr>
          <w:ilvl w:val="1"/>
          <w:numId w:val="33"/>
        </w:numPr>
        <w:ind w:left="567" w:hanging="567"/>
      </w:pPr>
      <w:bookmarkStart w:id="74" w:name="_Toc213137987"/>
      <w:bookmarkStart w:id="75" w:name="_Toc185317572"/>
      <w:r w:rsidRPr="005D49E0">
        <w:t>Process for the EUR RASP development, implementation and monitoring</w:t>
      </w:r>
      <w:bookmarkEnd w:id="74"/>
      <w:r w:rsidRPr="005D49E0">
        <w:t xml:space="preserve"> </w:t>
      </w:r>
      <w:bookmarkEnd w:id="75"/>
    </w:p>
    <w:p w14:paraId="51930995" w14:textId="77777777" w:rsidR="003A7917" w:rsidRDefault="00AB26F4" w:rsidP="00AB26F4">
      <w:pPr>
        <w:pStyle w:val="Standardtext"/>
      </w:pPr>
      <w:r>
        <w:t xml:space="preserve">As mandated by the ICAO European Aviation System Planning Group (EASPG), the Regional Expert Safety Group (RESG) jointly with its working group (RESG RASP WG) </w:t>
      </w:r>
      <w:r w:rsidRPr="004A07BC">
        <w:t xml:space="preserve">is responsible for developing, supporting implementation and monitoring the RASP, in collaboration with </w:t>
      </w:r>
      <w:r>
        <w:t>ICAO EUR and NAT</w:t>
      </w:r>
      <w:r w:rsidRPr="00AB26F4">
        <w:t xml:space="preserve"> Regional Office</w:t>
      </w:r>
      <w:r>
        <w:t xml:space="preserve">, States, International and Regional Organizations, </w:t>
      </w:r>
      <w:r w:rsidRPr="004A07BC">
        <w:t xml:space="preserve">and with the aviation industry. The </w:t>
      </w:r>
      <w:r w:rsidR="003A7917">
        <w:t xml:space="preserve">EUR </w:t>
      </w:r>
      <w:r w:rsidRPr="004A07BC">
        <w:t>RASP was developed in consultation with States</w:t>
      </w:r>
      <w:r w:rsidR="003A7917">
        <w:t xml:space="preserve"> </w:t>
      </w:r>
      <w:r w:rsidRPr="004A07BC">
        <w:t xml:space="preserve">and other key aviation stakeholders in the region, and in alignment with the </w:t>
      </w:r>
      <w:r w:rsidR="003A7917">
        <w:t xml:space="preserve">2026-2028 version </w:t>
      </w:r>
      <w:r w:rsidRPr="004A07BC">
        <w:t xml:space="preserve">of the GASP. Its implementation requires a collaborative approach to </w:t>
      </w:r>
      <w:proofErr w:type="gramStart"/>
      <w:r w:rsidRPr="004A07BC">
        <w:t>achieve</w:t>
      </w:r>
      <w:proofErr w:type="gramEnd"/>
      <w:r w:rsidRPr="004A07BC">
        <w:t xml:space="preserve"> the regional safety strategy. To ensure its relevance, this plan is maintained by </w:t>
      </w:r>
      <w:r w:rsidR="003A7917">
        <w:t>REGS RASP WG</w:t>
      </w:r>
      <w:r w:rsidRPr="004A07BC">
        <w:t>, in coordination with key aviation stakeholders</w:t>
      </w:r>
      <w:r w:rsidR="003A7917">
        <w:t>.</w:t>
      </w:r>
    </w:p>
    <w:p w14:paraId="23296383" w14:textId="0C978068" w:rsidR="00FC7E77" w:rsidRPr="00F66960" w:rsidRDefault="00FC7E77" w:rsidP="00FC7E77">
      <w:pPr>
        <w:pStyle w:val="Standardtext"/>
      </w:pPr>
      <w:r w:rsidRPr="00F66960">
        <w:lastRenderedPageBreak/>
        <w:t xml:space="preserve">To standardize the process of developing and maintaining the EUR RASP and its actions, the RESG RASP WG prepared guidelines describing the processes, procedures, roles and responsibilities of the </w:t>
      </w:r>
      <w:r w:rsidR="00AF792C" w:rsidRPr="00F66960">
        <w:t>parties involved</w:t>
      </w:r>
      <w:r w:rsidRPr="00F66960">
        <w:t xml:space="preserve">. </w:t>
      </w:r>
    </w:p>
    <w:p w14:paraId="3A0A6617" w14:textId="6195D271" w:rsidR="00FC7E77" w:rsidRPr="00A24DF9" w:rsidRDefault="00FC7E77" w:rsidP="005D49E0">
      <w:pPr>
        <w:pStyle w:val="Standardtext"/>
        <w:rPr>
          <w:strike/>
        </w:rPr>
      </w:pPr>
      <w:r w:rsidRPr="00F66960">
        <w:t xml:space="preserve">Generally, EUR RASP is reviewed and updated every 3 years, corresponding </w:t>
      </w:r>
      <w:r>
        <w:t xml:space="preserve">to </w:t>
      </w:r>
      <w:r w:rsidRPr="00F66960">
        <w:t xml:space="preserve">the three-yearly GASP and EPAS Volume I cycle. If major changes can be expected, a mid-term review will be initiated to update Volume I. Volume II </w:t>
      </w:r>
      <w:r w:rsidR="00A24DF9">
        <w:t xml:space="preserve">can be also updated on </w:t>
      </w:r>
      <w:r w:rsidR="00AD7E3A">
        <w:t>ad hoc</w:t>
      </w:r>
      <w:r w:rsidR="00A24DF9">
        <w:t xml:space="preserve"> basis</w:t>
      </w:r>
      <w:r w:rsidRPr="00F66960">
        <w:t xml:space="preserve">, </w:t>
      </w:r>
      <w:r w:rsidR="00AF792C" w:rsidRPr="00F66960">
        <w:t>to</w:t>
      </w:r>
      <w:r w:rsidRPr="00F66960">
        <w:t xml:space="preserve"> address new (emerging) risk and to update the implementation dates, if </w:t>
      </w:r>
      <w:proofErr w:type="gramStart"/>
      <w:r w:rsidRPr="00F66960">
        <w:t>the majority of</w:t>
      </w:r>
      <w:proofErr w:type="gramEnd"/>
      <w:r w:rsidRPr="00F66960">
        <w:t xml:space="preserve"> States are not able to finalize the required actions in due time. </w:t>
      </w:r>
    </w:p>
    <w:p w14:paraId="0080433E" w14:textId="0C3E85CF" w:rsidR="00A95BBF" w:rsidRPr="00A95BBF" w:rsidRDefault="00A95BBF">
      <w:pPr>
        <w:pStyle w:val="Heading2"/>
        <w:numPr>
          <w:ilvl w:val="1"/>
          <w:numId w:val="33"/>
        </w:numPr>
        <w:ind w:left="567" w:hanging="567"/>
      </w:pPr>
      <w:bookmarkStart w:id="76" w:name="_Toc213137988"/>
      <w:r w:rsidRPr="00A95BBF">
        <w:t>Relationship between GASP, RASP, EPAS and NASP</w:t>
      </w:r>
      <w:bookmarkEnd w:id="76"/>
    </w:p>
    <w:p w14:paraId="4E015CCF" w14:textId="77777777" w:rsidR="00A95BBF" w:rsidRPr="00177C99" w:rsidRDefault="00A95BBF">
      <w:pPr>
        <w:pStyle w:val="Heading3"/>
        <w:numPr>
          <w:ilvl w:val="2"/>
          <w:numId w:val="33"/>
        </w:numPr>
        <w:ind w:left="851" w:hanging="851"/>
      </w:pPr>
      <w:bookmarkStart w:id="77" w:name="_Toc213137989"/>
      <w:r w:rsidRPr="00177C99">
        <w:t>General Overview</w:t>
      </w:r>
      <w:bookmarkEnd w:id="77"/>
    </w:p>
    <w:p w14:paraId="2552559B" w14:textId="5DCAAE36" w:rsidR="00A95BBF" w:rsidRPr="00177C99" w:rsidRDefault="00A95BBF" w:rsidP="00A95BBF">
      <w:pPr>
        <w:pStyle w:val="StdVOR"/>
        <w:jc w:val="both"/>
        <w:rPr>
          <w:lang w:val="en-GB"/>
        </w:rPr>
      </w:pPr>
      <w:r w:rsidRPr="00177C99">
        <w:rPr>
          <w:lang w:val="en-GB"/>
        </w:rPr>
        <w:t>States should develop and implement national aviation safety plans</w:t>
      </w:r>
      <w:r w:rsidR="00F66960">
        <w:rPr>
          <w:lang w:val="en-GB"/>
        </w:rPr>
        <w:t xml:space="preserve"> (NASPs)</w:t>
      </w:r>
      <w:r w:rsidRPr="00177C99">
        <w:rPr>
          <w:lang w:val="en-GB"/>
        </w:rPr>
        <w:t xml:space="preserve">, in line with the goals of the Global Aviation Safety Plan (GASP, Doc 10004). At the international level, the GASP sets forth a strategy which supports the prioritization and continuous improvement of aviation safety. Regional and national aviation safety plans should be developed in alignment with the GASP. At the regional level, the regional aviation safety groups (RASGs) coordinate the planning process. Regional and national </w:t>
      </w:r>
      <w:r w:rsidRPr="003D6B34">
        <w:rPr>
          <w:lang w:val="en-GB"/>
        </w:rPr>
        <w:t xml:space="preserve">safety </w:t>
      </w:r>
      <w:r w:rsidR="003D6B34" w:rsidRPr="003D6B34">
        <w:rPr>
          <w:lang w:val="en-GB"/>
        </w:rPr>
        <w:t>actions</w:t>
      </w:r>
      <w:r w:rsidR="003D6B34">
        <w:rPr>
          <w:strike/>
          <w:lang w:val="en-GB"/>
        </w:rPr>
        <w:t xml:space="preserve"> </w:t>
      </w:r>
      <w:r w:rsidRPr="00177C99">
        <w:rPr>
          <w:lang w:val="en-GB"/>
        </w:rPr>
        <w:t xml:space="preserve">should be adapted based on issues faced by the States concerned. </w:t>
      </w:r>
    </w:p>
    <w:p w14:paraId="641A8E62" w14:textId="3917B2EE" w:rsidR="003D6B34" w:rsidRDefault="003D6B34">
      <w:pPr>
        <w:pStyle w:val="Heading3"/>
        <w:numPr>
          <w:ilvl w:val="2"/>
          <w:numId w:val="33"/>
        </w:numPr>
        <w:ind w:left="851" w:hanging="851"/>
      </w:pPr>
      <w:bookmarkStart w:id="78" w:name="_Toc213137990"/>
      <w:r>
        <w:t xml:space="preserve">Relationship </w:t>
      </w:r>
      <w:r w:rsidR="00727933">
        <w:t>between EUR RASP and EPAS</w:t>
      </w:r>
      <w:bookmarkEnd w:id="78"/>
    </w:p>
    <w:p w14:paraId="292EA936" w14:textId="23928280" w:rsidR="00727933" w:rsidRPr="00727933" w:rsidRDefault="00727933" w:rsidP="00727933">
      <w:pPr>
        <w:spacing w:before="120" w:after="120" w:line="276" w:lineRule="auto"/>
        <w:jc w:val="both"/>
        <w:rPr>
          <w:rFonts w:asciiTheme="minorHAnsi" w:hAnsiTheme="minorHAnsi" w:cstheme="minorHAnsi"/>
          <w:strike/>
          <w:sz w:val="22"/>
          <w:szCs w:val="22"/>
          <w:lang w:val="en"/>
        </w:rPr>
      </w:pPr>
      <w:r w:rsidRPr="00631EF6">
        <w:rPr>
          <w:rFonts w:asciiTheme="minorHAnsi" w:hAnsiTheme="minorHAnsi" w:cstheme="minorHAnsi"/>
          <w:sz w:val="22"/>
          <w:szCs w:val="22"/>
        </w:rPr>
        <w:t xml:space="preserve">The EUR RASP is built upon the experience gathered by EASA, EU and ECAC on </w:t>
      </w:r>
      <w:r>
        <w:rPr>
          <w:rFonts w:asciiTheme="minorHAnsi" w:hAnsiTheme="minorHAnsi" w:cstheme="minorHAnsi"/>
          <w:sz w:val="22"/>
          <w:szCs w:val="22"/>
        </w:rPr>
        <w:t xml:space="preserve">the </w:t>
      </w:r>
      <w:r w:rsidRPr="00631EF6">
        <w:rPr>
          <w:rFonts w:asciiTheme="minorHAnsi" w:hAnsiTheme="minorHAnsi" w:cstheme="minorHAnsi"/>
          <w:sz w:val="22"/>
          <w:szCs w:val="22"/>
        </w:rPr>
        <w:t>development and implementation of the EPAS. EPAS is a key component of the safety management system (SMS) at the European level, which is described in the European Aviation Safety Programme</w:t>
      </w:r>
      <w:r w:rsidRPr="00631EF6">
        <w:rPr>
          <w:rStyle w:val="FootnoteReference"/>
          <w:rFonts w:asciiTheme="minorHAnsi" w:hAnsiTheme="minorHAnsi" w:cstheme="minorHAnsi"/>
          <w:sz w:val="22"/>
          <w:szCs w:val="22"/>
        </w:rPr>
        <w:footnoteReference w:id="2"/>
      </w:r>
      <w:r w:rsidRPr="00631EF6">
        <w:rPr>
          <w:rFonts w:asciiTheme="minorHAnsi" w:hAnsiTheme="minorHAnsi" w:cstheme="minorHAnsi"/>
          <w:sz w:val="22"/>
          <w:szCs w:val="22"/>
        </w:rPr>
        <w:t xml:space="preserve"> (EASP). </w:t>
      </w:r>
    </w:p>
    <w:p w14:paraId="70D0B9E7" w14:textId="0B9C373B" w:rsidR="00AD7E3A" w:rsidRDefault="00727933" w:rsidP="00AD7E3A">
      <w:pPr>
        <w:spacing w:before="120" w:after="120" w:line="276" w:lineRule="auto"/>
        <w:jc w:val="both"/>
        <w:rPr>
          <w:rFonts w:asciiTheme="minorHAnsi" w:hAnsiTheme="minorHAnsi" w:cstheme="minorHAnsi"/>
          <w:sz w:val="22"/>
          <w:szCs w:val="22"/>
        </w:rPr>
      </w:pPr>
      <w:r w:rsidRPr="00AD5356">
        <w:t>EPAS</w:t>
      </w:r>
      <w:r w:rsidR="004400CC">
        <w:rPr>
          <w:rStyle w:val="FootnoteReference"/>
        </w:rPr>
        <w:footnoteReference w:id="3"/>
      </w:r>
      <w:r w:rsidR="008E602A">
        <w:t xml:space="preserve"> </w:t>
      </w:r>
      <w:r w:rsidR="00AD7E3A" w:rsidRPr="00AD7E3A">
        <w:rPr>
          <w:rFonts w:asciiTheme="minorHAnsi" w:hAnsiTheme="minorHAnsi" w:cstheme="minorHAnsi"/>
          <w:sz w:val="22"/>
          <w:szCs w:val="22"/>
        </w:rPr>
        <w:t>is legally binding and constitutes the common aviation safety plan for EASA Member States. T</w:t>
      </w:r>
      <w:r w:rsidR="00AD7E3A" w:rsidRPr="00535EB1">
        <w:rPr>
          <w:rFonts w:asciiTheme="minorHAnsi" w:hAnsiTheme="minorHAnsi" w:cstheme="minorHAnsi"/>
          <w:sz w:val="22"/>
          <w:szCs w:val="22"/>
        </w:rPr>
        <w:t xml:space="preserve">hrough the </w:t>
      </w:r>
      <w:r w:rsidR="00AD7E3A">
        <w:rPr>
          <w:rFonts w:asciiTheme="minorHAnsi" w:hAnsiTheme="minorHAnsi" w:cstheme="minorHAnsi"/>
          <w:sz w:val="22"/>
          <w:szCs w:val="22"/>
        </w:rPr>
        <w:t xml:space="preserve">systematic, </w:t>
      </w:r>
      <w:r w:rsidR="00AD7E3A" w:rsidRPr="00535EB1">
        <w:rPr>
          <w:rFonts w:asciiTheme="minorHAnsi" w:hAnsiTheme="minorHAnsi" w:cstheme="minorHAnsi"/>
          <w:sz w:val="22"/>
          <w:szCs w:val="22"/>
        </w:rPr>
        <w:t>data-based EU Safety Risk Management process</w:t>
      </w:r>
      <w:r w:rsidR="00AD7E3A">
        <w:rPr>
          <w:rFonts w:asciiTheme="minorHAnsi" w:hAnsiTheme="minorHAnsi" w:cstheme="minorHAnsi"/>
          <w:sz w:val="22"/>
          <w:szCs w:val="22"/>
        </w:rPr>
        <w:t>, i</w:t>
      </w:r>
      <w:r w:rsidR="00AD7E3A" w:rsidRPr="00AD7E3A">
        <w:rPr>
          <w:rFonts w:asciiTheme="minorHAnsi" w:hAnsiTheme="minorHAnsi" w:cstheme="minorHAnsi"/>
          <w:sz w:val="22"/>
          <w:szCs w:val="22"/>
        </w:rPr>
        <w:t xml:space="preserve">t identifies the main risks affecting the European aviation system, sets out the strategic priorities and defines the necessary actions to mitigate those risks to further improve aviation safety. </w:t>
      </w:r>
    </w:p>
    <w:p w14:paraId="1BEBE0D0" w14:textId="2A7D4054" w:rsidR="00AD7E3A" w:rsidRDefault="00AD7E3A" w:rsidP="00AD7E3A">
      <w:pPr>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 xml:space="preserve">RASP </w:t>
      </w:r>
      <w:r w:rsidR="008C0669">
        <w:rPr>
          <w:rFonts w:asciiTheme="minorHAnsi" w:hAnsiTheme="minorHAnsi" w:cstheme="minorHAnsi"/>
          <w:sz w:val="22"/>
          <w:szCs w:val="22"/>
        </w:rPr>
        <w:t>considers</w:t>
      </w:r>
      <w:r>
        <w:rPr>
          <w:rFonts w:asciiTheme="minorHAnsi" w:hAnsiTheme="minorHAnsi" w:cstheme="minorHAnsi"/>
          <w:sz w:val="22"/>
          <w:szCs w:val="22"/>
        </w:rPr>
        <w:t xml:space="preserve"> EPAS developments to enhance aviation safety adequately to its wider area of coverage. The plans are aligned as far as practicable, and complementary.</w:t>
      </w:r>
    </w:p>
    <w:p w14:paraId="7DAEAF62" w14:textId="331F7539" w:rsidR="00A95BBF" w:rsidRPr="009520E8" w:rsidRDefault="003D6B34">
      <w:pPr>
        <w:pStyle w:val="Heading3"/>
        <w:numPr>
          <w:ilvl w:val="2"/>
          <w:numId w:val="33"/>
        </w:numPr>
        <w:ind w:left="851" w:hanging="851"/>
      </w:pPr>
      <w:bookmarkStart w:id="79" w:name="_Toc213137991"/>
      <w:r w:rsidRPr="009520E8">
        <w:t xml:space="preserve">Relationship </w:t>
      </w:r>
      <w:r w:rsidR="00A95BBF" w:rsidRPr="009520E8">
        <w:t xml:space="preserve">between NASP and </w:t>
      </w:r>
      <w:r w:rsidR="00727933" w:rsidRPr="009520E8">
        <w:t xml:space="preserve">EUR </w:t>
      </w:r>
      <w:r w:rsidR="00A95BBF" w:rsidRPr="009520E8">
        <w:t>RASP</w:t>
      </w:r>
      <w:bookmarkEnd w:id="79"/>
    </w:p>
    <w:p w14:paraId="7D12B77F" w14:textId="5690345D" w:rsidR="0098643A" w:rsidRDefault="00A95BBF" w:rsidP="00A95BBF">
      <w:pPr>
        <w:pStyle w:val="StdVOR"/>
        <w:jc w:val="both"/>
        <w:rPr>
          <w:rFonts w:eastAsia="Times New Roman" w:cstheme="minorHAnsi"/>
          <w:sz w:val="22"/>
          <w:szCs w:val="22"/>
          <w:lang w:val="en-GB" w:eastAsia="en-GB"/>
          <w14:numForm w14:val="default"/>
        </w:rPr>
      </w:pPr>
      <w:r w:rsidRPr="009520E8">
        <w:rPr>
          <w:lang w:val="en-GB"/>
        </w:rPr>
        <w:t xml:space="preserve">National aviation safety plans should be developed in alignment with the regional </w:t>
      </w:r>
      <w:r w:rsidR="008C0669" w:rsidRPr="009520E8">
        <w:rPr>
          <w:lang w:val="en-GB"/>
        </w:rPr>
        <w:t>plans</w:t>
      </w:r>
      <w:r w:rsidR="008C0669">
        <w:rPr>
          <w:lang w:val="en-GB"/>
        </w:rPr>
        <w:t>;</w:t>
      </w:r>
      <w:r w:rsidR="0098643A">
        <w:rPr>
          <w:lang w:val="en-GB"/>
        </w:rPr>
        <w:t xml:space="preserve"> hence all EUR states align with EUR RASP.</w:t>
      </w:r>
      <w:r w:rsidR="00AD7E3A" w:rsidRPr="00AD7E3A">
        <w:rPr>
          <w:rFonts w:eastAsia="Times New Roman" w:cstheme="minorHAnsi"/>
          <w:sz w:val="22"/>
          <w:szCs w:val="22"/>
          <w:lang w:val="en-GB" w:eastAsia="en-GB"/>
          <w14:numForm w14:val="default"/>
        </w:rPr>
        <w:t xml:space="preserve"> In the case of EASA Members States this is covered by the legal requirement to have a State Plan for</w:t>
      </w:r>
      <w:r w:rsidR="00AD7E3A">
        <w:rPr>
          <w:rFonts w:eastAsia="Times New Roman" w:cstheme="minorHAnsi"/>
          <w:sz w:val="22"/>
          <w:szCs w:val="22"/>
          <w:lang w:val="en-GB" w:eastAsia="en-GB"/>
          <w14:numForm w14:val="default"/>
        </w:rPr>
        <w:t xml:space="preserve"> Aviation Safety</w:t>
      </w:r>
      <w:r w:rsidR="009A34DC">
        <w:rPr>
          <w:rFonts w:eastAsia="Times New Roman" w:cstheme="minorHAnsi"/>
          <w:sz w:val="22"/>
          <w:szCs w:val="22"/>
          <w:lang w:val="en-GB" w:eastAsia="en-GB"/>
          <w14:numForm w14:val="default"/>
        </w:rPr>
        <w:t xml:space="preserve"> in </w:t>
      </w:r>
      <w:r w:rsidR="00AD7E3A">
        <w:rPr>
          <w:rFonts w:eastAsia="Times New Roman" w:cstheme="minorHAnsi"/>
          <w:sz w:val="22"/>
          <w:szCs w:val="22"/>
          <w:lang w:val="en-GB" w:eastAsia="en-GB"/>
          <w14:numForm w14:val="default"/>
        </w:rPr>
        <w:t>Art</w:t>
      </w:r>
      <w:r w:rsidR="009A34DC">
        <w:rPr>
          <w:rFonts w:eastAsia="Times New Roman" w:cstheme="minorHAnsi"/>
          <w:sz w:val="22"/>
          <w:szCs w:val="22"/>
          <w:lang w:val="en-GB" w:eastAsia="en-GB"/>
          <w14:numForm w14:val="default"/>
        </w:rPr>
        <w:t>icle</w:t>
      </w:r>
      <w:r w:rsidR="00AD7E3A">
        <w:rPr>
          <w:rFonts w:eastAsia="Times New Roman" w:cstheme="minorHAnsi"/>
          <w:sz w:val="22"/>
          <w:szCs w:val="22"/>
          <w:lang w:val="en-GB" w:eastAsia="en-GB"/>
          <w14:numForm w14:val="default"/>
        </w:rPr>
        <w:t xml:space="preserve"> 8 of </w:t>
      </w:r>
      <w:r w:rsidR="00AD7E3A" w:rsidRPr="00AD7E3A">
        <w:rPr>
          <w:rFonts w:eastAsia="Times New Roman" w:cstheme="minorHAnsi"/>
          <w:sz w:val="22"/>
          <w:szCs w:val="22"/>
          <w:lang w:val="en-GB" w:eastAsia="en-GB"/>
          <w14:numForm w14:val="default"/>
        </w:rPr>
        <w:t>Regulation (EU) 2018/1139</w:t>
      </w:r>
      <w:r w:rsidR="0098643A">
        <w:rPr>
          <w:rFonts w:eastAsia="Times New Roman" w:cstheme="minorHAnsi"/>
          <w:sz w:val="22"/>
          <w:szCs w:val="22"/>
          <w:lang w:val="en-GB" w:eastAsia="en-GB"/>
          <w14:numForm w14:val="default"/>
        </w:rPr>
        <w:t>.</w:t>
      </w:r>
      <w:r w:rsidRPr="00AD7E3A">
        <w:rPr>
          <w:rFonts w:eastAsia="Times New Roman" w:cstheme="minorHAnsi"/>
          <w:sz w:val="22"/>
          <w:szCs w:val="22"/>
          <w:lang w:val="en-GB" w:eastAsia="en-GB"/>
          <w14:numForm w14:val="default"/>
        </w:rPr>
        <w:t xml:space="preserve"> </w:t>
      </w:r>
    </w:p>
    <w:p w14:paraId="318B36E4" w14:textId="0517CCA6" w:rsidR="00A95BBF" w:rsidRDefault="00A95BBF" w:rsidP="00A95BBF">
      <w:pPr>
        <w:pStyle w:val="StdVOR"/>
        <w:jc w:val="both"/>
        <w:rPr>
          <w:lang w:val="en-GB"/>
        </w:rPr>
      </w:pPr>
      <w:r w:rsidRPr="009520E8">
        <w:rPr>
          <w:lang w:val="en-GB"/>
        </w:rPr>
        <w:t xml:space="preserve">National safety plans indicate the main safety threats and problems at the state level, including those specific to that state. For this reason, they are also a source of information and data for plans at the regional level. Threats identified in individual states become “candidates” for threats at the regional level and are </w:t>
      </w:r>
      <w:r w:rsidRPr="009520E8">
        <w:rPr>
          <w:lang w:val="en-GB"/>
        </w:rPr>
        <w:lastRenderedPageBreak/>
        <w:t xml:space="preserve">analysed by the regional aviation safety groups (RASGs), which determines whether a given safety problem is also applicable and relevant in other states and at the level of the entire region. The analysis and expertise carried out on a given issue in a single country can also prove useful in analysing the problem at the regional level and deciding whether to include the issue in a new edition of the </w:t>
      </w:r>
      <w:r w:rsidR="008E602A" w:rsidRPr="009520E8">
        <w:rPr>
          <w:lang w:val="en-GB"/>
        </w:rPr>
        <w:t xml:space="preserve">EUR </w:t>
      </w:r>
      <w:r w:rsidRPr="009520E8">
        <w:rPr>
          <w:lang w:val="en-GB"/>
        </w:rPr>
        <w:t xml:space="preserve">RASP. The relationship between NASP and </w:t>
      </w:r>
      <w:r w:rsidR="008E602A" w:rsidRPr="009520E8">
        <w:rPr>
          <w:lang w:val="en-GB"/>
        </w:rPr>
        <w:t xml:space="preserve">EUR </w:t>
      </w:r>
      <w:r w:rsidRPr="009520E8">
        <w:rPr>
          <w:lang w:val="en-GB"/>
        </w:rPr>
        <w:t>RASP is therefore two-way, and the flow of information should work both ways generating mutual safety benefits.</w:t>
      </w:r>
    </w:p>
    <w:p w14:paraId="424060F9" w14:textId="5DEACD9C" w:rsidR="009520E8" w:rsidRDefault="009520E8" w:rsidP="00A95BBF">
      <w:pPr>
        <w:pStyle w:val="StdVOR"/>
        <w:jc w:val="both"/>
        <w:rPr>
          <w:lang w:val="en-GB"/>
        </w:rPr>
      </w:pPr>
      <w:r w:rsidRPr="00C23A6D">
        <w:rPr>
          <w:rFonts w:cstheme="minorHAnsi"/>
          <w:b/>
          <w:noProof/>
          <w:highlight w:val="lightGray"/>
          <w:lang w:val="en-US"/>
        </w:rPr>
        <w:drawing>
          <wp:inline distT="0" distB="0" distL="0" distR="0" wp14:anchorId="13DECC3E" wp14:editId="654E0F95">
            <wp:extent cx="6162459" cy="331444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62459" cy="3314441"/>
                    </a:xfrm>
                    <a:prstGeom prst="rect">
                      <a:avLst/>
                    </a:prstGeom>
                    <a:noFill/>
                    <a:ln>
                      <a:noFill/>
                    </a:ln>
                  </pic:spPr>
                </pic:pic>
              </a:graphicData>
            </a:graphic>
          </wp:inline>
        </w:drawing>
      </w:r>
    </w:p>
    <w:p w14:paraId="2827FEAC" w14:textId="77777777" w:rsidR="009520E8" w:rsidRPr="009520E8" w:rsidRDefault="009520E8" w:rsidP="009520E8">
      <w:pPr>
        <w:jc w:val="center"/>
      </w:pPr>
      <w:r w:rsidRPr="00981D37">
        <w:rPr>
          <w:sz w:val="22"/>
          <w:szCs w:val="20"/>
        </w:rPr>
        <w:t xml:space="preserve">Figure </w:t>
      </w:r>
      <w:r w:rsidRPr="009520E8">
        <w:rPr>
          <w:sz w:val="22"/>
          <w:szCs w:val="20"/>
        </w:rPr>
        <w:fldChar w:fldCharType="begin"/>
      </w:r>
      <w:r w:rsidRPr="009520E8">
        <w:rPr>
          <w:sz w:val="22"/>
          <w:szCs w:val="20"/>
        </w:rPr>
        <w:instrText xml:space="preserve"> SEQ Figure \* ARABIC </w:instrText>
      </w:r>
      <w:r w:rsidRPr="009520E8">
        <w:rPr>
          <w:sz w:val="22"/>
          <w:szCs w:val="20"/>
        </w:rPr>
        <w:fldChar w:fldCharType="separate"/>
      </w:r>
      <w:r w:rsidRPr="009520E8">
        <w:rPr>
          <w:noProof/>
          <w:sz w:val="22"/>
          <w:szCs w:val="20"/>
        </w:rPr>
        <w:t>1</w:t>
      </w:r>
      <w:r w:rsidRPr="009520E8">
        <w:rPr>
          <w:sz w:val="22"/>
          <w:szCs w:val="20"/>
        </w:rPr>
        <w:fldChar w:fldCharType="end"/>
      </w:r>
      <w:r w:rsidRPr="009520E8">
        <w:rPr>
          <w:sz w:val="22"/>
          <w:szCs w:val="20"/>
        </w:rPr>
        <w:t xml:space="preserve"> </w:t>
      </w:r>
      <w:r w:rsidRPr="009520E8">
        <w:t>Relationship between the EUR-RASP and other programmes and plans</w:t>
      </w:r>
    </w:p>
    <w:p w14:paraId="1DE270E4" w14:textId="1FF59157" w:rsidR="00BA06C3" w:rsidRDefault="00BA06C3">
      <w:pPr>
        <w:pStyle w:val="Heading2"/>
        <w:numPr>
          <w:ilvl w:val="1"/>
          <w:numId w:val="33"/>
        </w:numPr>
        <w:ind w:left="567" w:hanging="567"/>
      </w:pPr>
      <w:bookmarkStart w:id="80" w:name="_Toc32504589"/>
      <w:bookmarkStart w:id="81" w:name="_Toc213137992"/>
      <w:bookmarkEnd w:id="73"/>
      <w:r w:rsidRPr="00631EF6">
        <w:t>Operational context</w:t>
      </w:r>
      <w:bookmarkEnd w:id="80"/>
      <w:bookmarkEnd w:id="81"/>
    </w:p>
    <w:p w14:paraId="26D00DE7" w14:textId="54F3EB34" w:rsidR="00455E4D" w:rsidRPr="00455E4D" w:rsidRDefault="00455E4D" w:rsidP="00637595">
      <w:pPr>
        <w:pStyle w:val="Standardtext"/>
      </w:pPr>
      <w:r w:rsidRPr="00455E4D">
        <w:t>The EUR region, being the largest ICAO region, encompasses a wide variety of States, with notable differences in terms of aviation industry, traffic volumes and types of aviation activit</w:t>
      </w:r>
      <w:r w:rsidR="00D358B2">
        <w:t>ies</w:t>
      </w:r>
      <w:r w:rsidRPr="00455E4D">
        <w:t xml:space="preserve">. Existing historical disputes, geopolitical conflicts, different political points of view impose </w:t>
      </w:r>
      <w:r w:rsidR="00D358B2">
        <w:t xml:space="preserve">nowadays </w:t>
      </w:r>
      <w:r w:rsidRPr="00455E4D">
        <w:t>safety and efficiency challenges within the EUR region.</w:t>
      </w:r>
    </w:p>
    <w:p w14:paraId="16B221B3" w14:textId="514FD2C9" w:rsidR="00455E4D" w:rsidRPr="00455E4D" w:rsidRDefault="00455E4D" w:rsidP="00637595">
      <w:pPr>
        <w:pStyle w:val="Standardtext"/>
      </w:pPr>
      <w:r w:rsidRPr="00455E4D">
        <w:t>While EASA States within the</w:t>
      </w:r>
      <w:r w:rsidR="00D358B2">
        <w:t>ir</w:t>
      </w:r>
      <w:r w:rsidRPr="00455E4D">
        <w:t xml:space="preserve"> region are subject to a common regulatory framework addressing a vast majority of aspects in civil aviation and are regularly monitored for the uniform application of </w:t>
      </w:r>
      <w:proofErr w:type="gramStart"/>
      <w:r w:rsidRPr="00455E4D">
        <w:t>the Community</w:t>
      </w:r>
      <w:proofErr w:type="gramEnd"/>
      <w:r w:rsidRPr="00455E4D">
        <w:t xml:space="preserve"> law, there are differences in applicable aviation regulations in the remaining States.</w:t>
      </w:r>
    </w:p>
    <w:p w14:paraId="4AC38E24" w14:textId="4973C9A3" w:rsidR="00455E4D" w:rsidRPr="00455E4D" w:rsidRDefault="00455E4D" w:rsidP="00637595">
      <w:pPr>
        <w:pStyle w:val="Standardtext"/>
      </w:pPr>
      <w:r w:rsidRPr="00455E4D">
        <w:t xml:space="preserve">By the end of 2024 there were 20 States (out of 55) in the ICAO EUR Region with a score below 75 per cent for the effective implementation (EI) of the critical elements (CEs) of the State’s safety oversight system. One State </w:t>
      </w:r>
      <w:r w:rsidR="004B471C" w:rsidRPr="00455E4D">
        <w:t>has</w:t>
      </w:r>
      <w:r w:rsidRPr="00455E4D">
        <w:t xml:space="preserve"> significant safety </w:t>
      </w:r>
      <w:proofErr w:type="gramStart"/>
      <w:r w:rsidRPr="00455E4D">
        <w:t>concern</w:t>
      </w:r>
      <w:proofErr w:type="gramEnd"/>
      <w:r w:rsidRPr="00455E4D">
        <w:t xml:space="preserve"> and 3 States hav</w:t>
      </w:r>
      <w:r w:rsidR="006A4DE8">
        <w:t>e</w:t>
      </w:r>
      <w:r w:rsidRPr="00455E4D">
        <w:t xml:space="preserve"> operational restrictions with regards to </w:t>
      </w:r>
      <w:proofErr w:type="gramStart"/>
      <w:r w:rsidRPr="00455E4D">
        <w:t>the European</w:t>
      </w:r>
      <w:proofErr w:type="gramEnd"/>
      <w:r w:rsidRPr="00455E4D">
        <w:t xml:space="preserve"> Airspace in accordance with the EU Safety List</w:t>
      </w:r>
      <w:r w:rsidRPr="00455E4D">
        <w:rPr>
          <w:rStyle w:val="FootnoteReference"/>
          <w:rFonts w:asciiTheme="minorHAnsi" w:hAnsiTheme="minorHAnsi" w:cstheme="minorHAnsi"/>
          <w:szCs w:val="28"/>
        </w:rPr>
        <w:footnoteReference w:id="4"/>
      </w:r>
      <w:r w:rsidRPr="00455E4D">
        <w:t>.</w:t>
      </w:r>
    </w:p>
    <w:p w14:paraId="4B30EB2C" w14:textId="770D8BE9" w:rsidR="00455E4D" w:rsidRPr="00455E4D" w:rsidRDefault="00261530" w:rsidP="00637595">
      <w:pPr>
        <w:pStyle w:val="Standardtext"/>
      </w:pPr>
      <w:r>
        <w:lastRenderedPageBreak/>
        <w:t>41</w:t>
      </w:r>
      <w:r w:rsidR="00455E4D" w:rsidRPr="00455E4D">
        <w:t xml:space="preserve"> EUR States have already developed their National Aviation Safety Plan (NASP), as encouraged by the GASP, outlining each State’s strategic direction for the management of aviation safety for a set </w:t>
      </w:r>
      <w:r w:rsidR="000F0153" w:rsidRPr="00455E4D">
        <w:t>period</w:t>
      </w:r>
      <w:r w:rsidR="00455E4D" w:rsidRPr="00455E4D">
        <w:t>. NASPs demonstrate States’ commitment to the implementation of activities for the improvement of safety.</w:t>
      </w:r>
    </w:p>
    <w:p w14:paraId="2EBAC6A2" w14:textId="70B98DEF" w:rsidR="00455E4D" w:rsidRPr="00455E4D" w:rsidRDefault="00455E4D" w:rsidP="00637595">
      <w:pPr>
        <w:pStyle w:val="Standardtext"/>
      </w:pPr>
      <w:r w:rsidRPr="00455E4D">
        <w:t xml:space="preserve">Due to different groupings of States </w:t>
      </w:r>
      <w:r w:rsidR="000F0153" w:rsidRPr="00455E4D">
        <w:t>being applied</w:t>
      </w:r>
      <w:r w:rsidRPr="00455E4D">
        <w:t xml:space="preserve"> by international and regional players it is difficult to provide a common forecast for the region. However, major players agree that in 2025 the EUR aviation will </w:t>
      </w:r>
      <w:r w:rsidR="00D358B2">
        <w:t xml:space="preserve">almost </w:t>
      </w:r>
      <w:r w:rsidRPr="00455E4D">
        <w:t xml:space="preserve">reach </w:t>
      </w:r>
      <w:r w:rsidR="00D358B2">
        <w:t xml:space="preserve">or already passed </w:t>
      </w:r>
      <w:r w:rsidRPr="00455E4D">
        <w:t>the pre-pandemic levels and expect further annual growth in passengers and cargo.</w:t>
      </w:r>
    </w:p>
    <w:p w14:paraId="4E6311E9" w14:textId="2533D9EF" w:rsidR="00455E4D" w:rsidRPr="00455E4D" w:rsidRDefault="00455E4D" w:rsidP="00637595">
      <w:pPr>
        <w:pStyle w:val="Standardtext"/>
      </w:pPr>
      <w:r w:rsidRPr="00455E4D">
        <w:t xml:space="preserve">According to ICAO Long-Term Traffic Forecasts around 3.1% average annual growth for passenger traffic in 2026-2028 and an average </w:t>
      </w:r>
      <w:r w:rsidR="00D358B2">
        <w:t xml:space="preserve">of </w:t>
      </w:r>
      <w:r w:rsidRPr="00455E4D">
        <w:t>1.8% annual growth for cargo operations in the ICAO EUR Region</w:t>
      </w:r>
      <w:r w:rsidR="00D358B2">
        <w:t xml:space="preserve"> can be expected</w:t>
      </w:r>
      <w:r w:rsidRPr="00455E4D">
        <w:t>.</w:t>
      </w:r>
    </w:p>
    <w:p w14:paraId="49B30869" w14:textId="77777777" w:rsidR="00455E4D" w:rsidRPr="00455E4D" w:rsidRDefault="00455E4D" w:rsidP="00637595">
      <w:pPr>
        <w:pStyle w:val="Standardtext"/>
      </w:pPr>
      <w:r w:rsidRPr="00455E4D">
        <w:t>EUROCONTROL's traffic forecast</w:t>
      </w:r>
      <w:r w:rsidRPr="00455E4D">
        <w:rPr>
          <w:rStyle w:val="FootnoteReference"/>
          <w:rFonts w:asciiTheme="minorHAnsi" w:hAnsiTheme="minorHAnsi" w:cstheme="minorHAnsi"/>
          <w:szCs w:val="28"/>
        </w:rPr>
        <w:footnoteReference w:id="5"/>
      </w:r>
      <w:r w:rsidRPr="00455E4D">
        <w:t xml:space="preserve"> (covering 44 of 55 EUR States) provides the following expectations:</w:t>
      </w:r>
    </w:p>
    <w:p w14:paraId="74568C24" w14:textId="77777777" w:rsidR="00455E4D" w:rsidRPr="00455E4D" w:rsidRDefault="00455E4D" w:rsidP="00637595">
      <w:pPr>
        <w:pStyle w:val="Standardtext"/>
      </w:pPr>
      <w:r w:rsidRPr="00455E4D">
        <w:t>2026: Growth is anticipated to stabilize, with traffic levels approaching pre-pandemic figures. This year will see a focus on managing capacity and addressing bottlenecks.</w:t>
      </w:r>
    </w:p>
    <w:p w14:paraId="374B45C7" w14:textId="77777777" w:rsidR="00455E4D" w:rsidRPr="00455E4D" w:rsidRDefault="00455E4D" w:rsidP="00637595">
      <w:pPr>
        <w:pStyle w:val="Standardtext"/>
      </w:pPr>
      <w:r w:rsidRPr="00455E4D">
        <w:t>2027: Continued moderate growth is expected, driven by economic recovery and increased passenger confidence. Traffic levels are projected to exceed 2019 figures.</w:t>
      </w:r>
    </w:p>
    <w:p w14:paraId="5DC0B124" w14:textId="77777777" w:rsidR="00455E4D" w:rsidRPr="00455E4D" w:rsidRDefault="00455E4D" w:rsidP="00637595">
      <w:pPr>
        <w:pStyle w:val="Standardtext"/>
        <w:rPr>
          <w:rFonts w:asciiTheme="minorHAnsi" w:hAnsiTheme="minorHAnsi" w:cstheme="minorHAnsi"/>
          <w:szCs w:val="28"/>
        </w:rPr>
      </w:pPr>
      <w:r w:rsidRPr="00455E4D">
        <w:rPr>
          <w:rFonts w:asciiTheme="minorHAnsi" w:hAnsiTheme="minorHAnsi" w:cstheme="minorHAnsi"/>
          <w:szCs w:val="28"/>
        </w:rPr>
        <w:t>2028: The forecast suggests a steady increase in flight movements, with a focus on sustainability and efficiency in air traffic management.</w:t>
      </w:r>
    </w:p>
    <w:p w14:paraId="4458A7B7" w14:textId="77777777" w:rsidR="00455E4D" w:rsidRDefault="00455E4D" w:rsidP="00455E4D">
      <w:r>
        <w:rPr>
          <w:noProof/>
          <w:lang w:eastAsia="de-DE"/>
        </w:rPr>
        <w:drawing>
          <wp:inline distT="0" distB="0" distL="0" distR="0" wp14:anchorId="16CFDFD5" wp14:editId="6B5109E6">
            <wp:extent cx="6362700" cy="2200275"/>
            <wp:effectExtent l="0" t="0" r="0" b="9525"/>
            <wp:docPr id="937426537" name="Picture 937426537" descr="A graph with numbers and lines&#10;&#10;AI-generated content may be incorrect."/>
            <wp:cNvGraphicFramePr/>
            <a:graphic xmlns:a="http://schemas.openxmlformats.org/drawingml/2006/main">
              <a:graphicData uri="http://schemas.openxmlformats.org/drawingml/2006/picture">
                <pic:pic xmlns:pic="http://schemas.openxmlformats.org/drawingml/2006/picture">
                  <pic:nvPicPr>
                    <pic:cNvPr id="937426537" name="Picture 937426537" descr="A graph with numbers and lines&#10;&#10;AI-generated content may be incorrect."/>
                    <pic:cNvPicPr/>
                  </pic:nvPicPr>
                  <pic:blipFill>
                    <a:blip r:embed="rId18"/>
                    <a:stretch>
                      <a:fillRect/>
                    </a:stretch>
                  </pic:blipFill>
                  <pic:spPr>
                    <a:xfrm>
                      <a:off x="0" y="0"/>
                      <a:ext cx="6362700" cy="2200275"/>
                    </a:xfrm>
                    <a:prstGeom prst="rect">
                      <a:avLst/>
                    </a:prstGeom>
                  </pic:spPr>
                </pic:pic>
              </a:graphicData>
            </a:graphic>
          </wp:inline>
        </w:drawing>
      </w:r>
    </w:p>
    <w:p w14:paraId="1826F811" w14:textId="694E4641" w:rsidR="00455E4D" w:rsidRPr="00455E4D" w:rsidRDefault="00455E4D" w:rsidP="00637595">
      <w:pPr>
        <w:pStyle w:val="Standardtext"/>
      </w:pPr>
      <w:r w:rsidRPr="00455E4D">
        <w:rPr>
          <w:rStyle w:val="Strong"/>
          <w:rFonts w:asciiTheme="minorHAnsi" w:hAnsiTheme="minorHAnsi" w:cstheme="minorHAnsi"/>
          <w:szCs w:val="28"/>
        </w:rPr>
        <w:t>IATA</w:t>
      </w:r>
      <w:r w:rsidRPr="00455E4D">
        <w:t xml:space="preserve"> is expecting </w:t>
      </w:r>
      <w:r w:rsidR="000F0153" w:rsidRPr="00455E4D">
        <w:t>annual</w:t>
      </w:r>
      <w:r w:rsidRPr="00455E4D">
        <w:t xml:space="preserve"> growth of 3.4% for passenger traffic in Europe</w:t>
      </w:r>
      <w:r w:rsidRPr="00455E4D">
        <w:rPr>
          <w:rStyle w:val="FootnoteReference"/>
          <w:rFonts w:asciiTheme="minorHAnsi" w:hAnsiTheme="minorHAnsi" w:cstheme="minorHAnsi"/>
          <w:szCs w:val="28"/>
        </w:rPr>
        <w:footnoteReference w:id="6"/>
      </w:r>
      <w:r w:rsidRPr="00455E4D">
        <w:t>. Air cargo traffic is projected to grow by around 4.1% annually</w:t>
      </w:r>
      <w:r w:rsidRPr="00455E4D">
        <w:rPr>
          <w:rStyle w:val="FootnoteReference"/>
          <w:rFonts w:asciiTheme="minorHAnsi" w:hAnsiTheme="minorHAnsi" w:cstheme="minorHAnsi"/>
          <w:szCs w:val="28"/>
        </w:rPr>
        <w:footnoteReference w:id="7"/>
      </w:r>
      <w:r w:rsidRPr="00455E4D">
        <w:t>, driven by e-commerce and global trade recovery. The demand for efficient and reliable cargo services will continue to rise.</w:t>
      </w:r>
    </w:p>
    <w:p w14:paraId="2A075CD3" w14:textId="77777777" w:rsidR="00455E4D" w:rsidRPr="00455E4D" w:rsidRDefault="00455E4D" w:rsidP="00637595">
      <w:pPr>
        <w:pStyle w:val="Standardtext"/>
      </w:pPr>
      <w:r w:rsidRPr="00455E4D">
        <w:rPr>
          <w:rStyle w:val="Strong"/>
          <w:rFonts w:asciiTheme="minorHAnsi" w:hAnsiTheme="minorHAnsi" w:cstheme="minorHAnsi"/>
          <w:szCs w:val="28"/>
        </w:rPr>
        <w:t>Main aircraft manufactures also positively look at the market developments.</w:t>
      </w:r>
      <w:r w:rsidRPr="00455E4D">
        <w:t xml:space="preserve"> Boeing</w:t>
      </w:r>
      <w:r w:rsidRPr="00455E4D">
        <w:rPr>
          <w:rStyle w:val="FootnoteReference"/>
          <w:rFonts w:asciiTheme="minorHAnsi" w:hAnsiTheme="minorHAnsi" w:cstheme="minorHAnsi"/>
          <w:szCs w:val="28"/>
        </w:rPr>
        <w:footnoteReference w:id="8"/>
      </w:r>
      <w:r w:rsidRPr="00455E4D">
        <w:t xml:space="preserve"> expects a 3.8% annual growth for Europe Passenger Traffic Average. Similarly, Airbus</w:t>
      </w:r>
      <w:r w:rsidRPr="00455E4D">
        <w:rPr>
          <w:rStyle w:val="FootnoteReference"/>
          <w:rFonts w:asciiTheme="minorHAnsi" w:hAnsiTheme="minorHAnsi" w:cstheme="minorHAnsi"/>
          <w:szCs w:val="28"/>
        </w:rPr>
        <w:footnoteReference w:id="9"/>
      </w:r>
      <w:r w:rsidRPr="00455E4D">
        <w:t xml:space="preserve"> expects an average of 3.5% annual growth for passenger traffic in EUR region in 2026-2028. Growth primarily is expected to be driven by GDP increase (+2.6% 2023-2043), middle class expansion, first time fliers, and growing trade (+3.1% 2023-2043 CAGR vs. +2.9 % GMF23). Individual State’s strategies to attract more tourists are expected to contribute to the increase as well.</w:t>
      </w:r>
    </w:p>
    <w:p w14:paraId="5B467B46" w14:textId="3A0F2F53" w:rsidR="00810AF8" w:rsidRDefault="00810AF8" w:rsidP="00810AF8">
      <w:pPr>
        <w:pStyle w:val="Standardtext"/>
      </w:pPr>
      <w:r>
        <w:lastRenderedPageBreak/>
        <w:t>Airbus forecasts to maintain a strong delivery pace across its narrow-body and wide-body families. The A320neo continues to be a cornerstone of its portfolio due to its fuel efficiency and versatility. The A220 and A350 families will see steady ramp-ups, while the A321XLR will begin high-volume deliveries in 2027, offering airlines new long-range capabilities in a single-aisle format. In 2028, Airbus will introduce the A350 freighter, expanding its presence in the cargo market, alongside continued deliveries of the A330neo and A220.</w:t>
      </w:r>
    </w:p>
    <w:p w14:paraId="428FF6D9" w14:textId="0D4DD6B0" w:rsidR="00810AF8" w:rsidRDefault="00810AF8" w:rsidP="00810AF8">
      <w:pPr>
        <w:pStyle w:val="Standardtext"/>
      </w:pPr>
      <w:r>
        <w:t>Boeing’s delivery strategy over the three years focuses on both wide-body innovation and narrow-body volume. The company will begin deliveries of the 777-9, marking a major milestone in its wide-body evolution. By 2027, production of the 737 MAX will ramp up significantly to meet global demand, with the 737-10 MAX joining the lineup in 2028. That year also sees the debut of the 777-8 freighter, reinforcing Boeing’s commitment to the cargo sector.</w:t>
      </w:r>
    </w:p>
    <w:p w14:paraId="1D2B4EDB" w14:textId="58FFF4C6" w:rsidR="00810AF8" w:rsidRDefault="00810AF8" w:rsidP="00810AF8">
      <w:pPr>
        <w:pStyle w:val="Standardtext"/>
      </w:pPr>
      <w:r>
        <w:t>Bombardier will transition its flagship offering from the Global 7500 to the Global 8000 starting in 2026, with the new model offering superior range and performance. The Global 8000 will become a central focus, with 35–40 units expected per year, supported by improved supply chains for models like the Challenger 3500.</w:t>
      </w:r>
    </w:p>
    <w:p w14:paraId="7C895099" w14:textId="039FEE1D" w:rsidR="00810AF8" w:rsidRPr="00455E4D" w:rsidRDefault="00810AF8" w:rsidP="00810AF8">
      <w:pPr>
        <w:pStyle w:val="Standardtext"/>
      </w:pPr>
      <w:r>
        <w:t xml:space="preserve">Russian aircraft manufacturers are set to revitalize their domestic aviation sector. Sukhoi plans to resume deliveries of the Superjet 100 (SJ100), redesigned with </w:t>
      </w:r>
      <w:r w:rsidR="000F0153">
        <w:t>locally produced</w:t>
      </w:r>
      <w:r>
        <w:t xml:space="preserve"> components. The Yakovlev MC-21 is forecasted for increased deliveries in 2027, aiming to compete with Western narrow-body aircraft. Ilyushin Il-114-300 turboprop plans to </w:t>
      </w:r>
      <w:proofErr w:type="gramStart"/>
      <w:r>
        <w:t>enter into</w:t>
      </w:r>
      <w:proofErr w:type="gramEnd"/>
      <w:r>
        <w:t xml:space="preserve"> service, targeting regional markets with limited infrastructure, reinforcing Russia’s push for aviation self-sufficiency.</w:t>
      </w:r>
    </w:p>
    <w:p w14:paraId="6861E3AD" w14:textId="77777777" w:rsidR="00455E4D" w:rsidRPr="00455E4D" w:rsidRDefault="00455E4D" w:rsidP="00637595">
      <w:pPr>
        <w:pStyle w:val="Standardtext"/>
      </w:pPr>
      <w:r w:rsidRPr="00455E4D">
        <w:t>Chinese aircraft are expected to enter the European market in the coming years. The Commercial Aircraft Corporation of China (COMAC) has been actively working on its C919 and ARJ21 aircraft, aiming to compete with Western manufacturers like Airbus and Boeing.</w:t>
      </w:r>
    </w:p>
    <w:p w14:paraId="6F40F543" w14:textId="77777777" w:rsidR="00455E4D" w:rsidRPr="00455E4D" w:rsidRDefault="00455E4D" w:rsidP="00637595">
      <w:pPr>
        <w:pStyle w:val="Standardtext"/>
      </w:pPr>
      <w:r w:rsidRPr="00455E4D">
        <w:t>Business Jets: New models like the Dassault Falcon 6X and Gulfstream G700 are set to enhance the business aviation sector. The Falcon 6X focuses on passenger comfort with its ultra-wide-body design, while the G700 offers ultra-long-range capabilities</w:t>
      </w:r>
    </w:p>
    <w:p w14:paraId="2A0E06D3" w14:textId="538CF67C" w:rsidR="00455E4D" w:rsidRPr="00810AF8" w:rsidRDefault="00455E4D" w:rsidP="00991502">
      <w:pPr>
        <w:pStyle w:val="Standardtext"/>
        <w:rPr>
          <w:strike/>
        </w:rPr>
      </w:pPr>
      <w:r w:rsidRPr="00455E4D">
        <w:t xml:space="preserve">As air traffic continues to grow, many </w:t>
      </w:r>
      <w:r w:rsidRPr="00455E4D">
        <w:rPr>
          <w:rStyle w:val="Strong"/>
          <w:rFonts w:asciiTheme="minorHAnsi" w:hAnsiTheme="minorHAnsi" w:cstheme="minorHAnsi"/>
          <w:szCs w:val="28"/>
        </w:rPr>
        <w:t>airports are struggling to expand their capacity</w:t>
      </w:r>
      <w:r w:rsidRPr="00455E4D">
        <w:t xml:space="preserve"> to accommodate the increasing number of flights. This can lead to congestion and delays. Several new airports are expected to open in EUR region between 2026 and 2028</w:t>
      </w:r>
      <w:r w:rsidR="00991502">
        <w:t>.</w:t>
      </w:r>
    </w:p>
    <w:p w14:paraId="663A90B6" w14:textId="77777777" w:rsidR="001F28D3" w:rsidRDefault="00455E4D" w:rsidP="00991502">
      <w:pPr>
        <w:pStyle w:val="Standardtext"/>
      </w:pPr>
      <w:r w:rsidRPr="00455E4D">
        <w:t xml:space="preserve">There will be further </w:t>
      </w:r>
      <w:r w:rsidRPr="00455E4D">
        <w:rPr>
          <w:rStyle w:val="Strong"/>
          <w:rFonts w:asciiTheme="minorHAnsi" w:hAnsiTheme="minorHAnsi" w:cstheme="minorHAnsi"/>
          <w:szCs w:val="28"/>
        </w:rPr>
        <w:t>improvements in airspace management</w:t>
      </w:r>
      <w:r w:rsidRPr="00455E4D">
        <w:t xml:space="preserve"> to ensure safer and more efficient use of airspace. Implementing advanced air traffic management systems helps optimize the use of airspace and reduce congestion. Technologies like the Single European Sky ATM Research (SESAR) program aim to enhance coordination and efficiency. The Air Traffic Management (ATM) network</w:t>
      </w:r>
      <w:r w:rsidRPr="00455E4D">
        <w:rPr>
          <w:rStyle w:val="FootnoteReference"/>
          <w:rFonts w:asciiTheme="minorHAnsi" w:hAnsiTheme="minorHAnsi" w:cstheme="minorHAnsi"/>
          <w:szCs w:val="28"/>
        </w:rPr>
        <w:footnoteReference w:id="10"/>
      </w:r>
      <w:r w:rsidRPr="00455E4D">
        <w:t xml:space="preserve"> in EUR Region is set to undergo significant changes between 2026 and 2028</w:t>
      </w:r>
      <w:r w:rsidR="00810AF8">
        <w:t>.</w:t>
      </w:r>
    </w:p>
    <w:p w14:paraId="0ED33BEA" w14:textId="47AA2AD9" w:rsidR="00455E4D" w:rsidRPr="00810AF8" w:rsidRDefault="00455E4D" w:rsidP="00991502">
      <w:pPr>
        <w:pStyle w:val="Standardtext"/>
        <w:rPr>
          <w:rFonts w:asciiTheme="minorHAnsi" w:hAnsiTheme="minorHAnsi" w:cstheme="minorHAnsi"/>
          <w:strike/>
          <w:szCs w:val="28"/>
        </w:rPr>
      </w:pPr>
      <w:r w:rsidRPr="00455E4D">
        <w:rPr>
          <w:rFonts w:asciiTheme="minorHAnsi" w:hAnsiTheme="minorHAnsi" w:cstheme="minorHAnsi"/>
          <w:szCs w:val="28"/>
        </w:rPr>
        <w:t xml:space="preserve">The aviation industry is focusing on </w:t>
      </w:r>
      <w:r w:rsidRPr="00455E4D">
        <w:rPr>
          <w:rStyle w:val="Strong"/>
          <w:rFonts w:asciiTheme="minorHAnsi" w:hAnsiTheme="minorHAnsi" w:cstheme="minorHAnsi"/>
          <w:szCs w:val="28"/>
        </w:rPr>
        <w:t>reducing its carbon footprint</w:t>
      </w:r>
      <w:r w:rsidRPr="00455E4D">
        <w:rPr>
          <w:rFonts w:asciiTheme="minorHAnsi" w:hAnsiTheme="minorHAnsi" w:cstheme="minorHAnsi"/>
          <w:szCs w:val="28"/>
        </w:rPr>
        <w:t>. This includes the implementation of more stringent environmental regulations and the promotion of sustainable aviation fuels (SAFs) to meet climate goals. The industry is under pressure to adopt sustainable practices and technologies, such as sustainable aviation fuels (SAFs) and more efficient aircraft. Several new aircraft types are expected to enter the European market between 2026 and 2028</w:t>
      </w:r>
      <w:r w:rsidR="00810AF8" w:rsidRPr="00810AF8">
        <w:rPr>
          <w:rFonts w:asciiTheme="minorHAnsi" w:hAnsiTheme="minorHAnsi" w:cstheme="minorHAnsi"/>
          <w:strike/>
          <w:szCs w:val="28"/>
        </w:rPr>
        <w:t>.</w:t>
      </w:r>
      <w:r w:rsidRPr="00810AF8">
        <w:rPr>
          <w:rFonts w:asciiTheme="minorHAnsi" w:hAnsiTheme="minorHAnsi" w:cstheme="minorHAnsi"/>
          <w:strike/>
          <w:szCs w:val="28"/>
        </w:rPr>
        <w:t>:</w:t>
      </w:r>
    </w:p>
    <w:p w14:paraId="4C88237C" w14:textId="77777777" w:rsidR="00455E4D" w:rsidRPr="00455E4D" w:rsidRDefault="00455E4D" w:rsidP="00991502">
      <w:pPr>
        <w:pStyle w:val="Standardtext"/>
        <w:rPr>
          <w:rFonts w:asciiTheme="minorHAnsi" w:hAnsiTheme="minorHAnsi" w:cstheme="minorHAnsi"/>
          <w:szCs w:val="28"/>
        </w:rPr>
      </w:pPr>
      <w:r w:rsidRPr="00455E4D">
        <w:rPr>
          <w:rStyle w:val="Strong"/>
          <w:rFonts w:asciiTheme="minorHAnsi" w:hAnsiTheme="minorHAnsi" w:cstheme="minorHAnsi"/>
          <w:szCs w:val="28"/>
        </w:rPr>
        <w:t>Geopolitical conflicts</w:t>
      </w:r>
      <w:r w:rsidRPr="00455E4D">
        <w:rPr>
          <w:rFonts w:asciiTheme="minorHAnsi" w:hAnsiTheme="minorHAnsi" w:cstheme="minorHAnsi"/>
          <w:szCs w:val="28"/>
        </w:rPr>
        <w:t xml:space="preserve"> are likely to continue affecting aviation in Europe in several ways:</w:t>
      </w:r>
    </w:p>
    <w:p w14:paraId="1DC62045" w14:textId="331758CA" w:rsidR="00455E4D" w:rsidRPr="00455E4D" w:rsidRDefault="00455E4D">
      <w:pPr>
        <w:pStyle w:val="ListParagraph"/>
        <w:numPr>
          <w:ilvl w:val="0"/>
          <w:numId w:val="24"/>
        </w:numPr>
        <w:spacing w:after="345" w:line="300" w:lineRule="auto"/>
        <w:jc w:val="both"/>
        <w:rPr>
          <w:rFonts w:asciiTheme="minorHAnsi" w:hAnsiTheme="minorHAnsi" w:cstheme="minorHAnsi"/>
          <w:sz w:val="22"/>
          <w:szCs w:val="28"/>
        </w:rPr>
      </w:pPr>
      <w:r w:rsidRPr="00455E4D">
        <w:rPr>
          <w:rFonts w:asciiTheme="minorHAnsi" w:hAnsiTheme="minorHAnsi" w:cstheme="minorHAnsi"/>
          <w:sz w:val="22"/>
          <w:szCs w:val="28"/>
        </w:rPr>
        <w:lastRenderedPageBreak/>
        <w:t>maintain or increase restricted or closed airspace</w:t>
      </w:r>
      <w:r w:rsidR="00D358B2">
        <w:rPr>
          <w:rFonts w:asciiTheme="minorHAnsi" w:hAnsiTheme="minorHAnsi" w:cstheme="minorHAnsi"/>
          <w:sz w:val="22"/>
          <w:szCs w:val="28"/>
        </w:rPr>
        <w:t>s</w:t>
      </w:r>
      <w:r w:rsidRPr="00455E4D">
        <w:rPr>
          <w:rFonts w:asciiTheme="minorHAnsi" w:hAnsiTheme="minorHAnsi" w:cstheme="minorHAnsi"/>
          <w:sz w:val="22"/>
          <w:szCs w:val="28"/>
        </w:rPr>
        <w:t xml:space="preserve">, forcing airlines to reroute flights, which can increase travel time and fuel </w:t>
      </w:r>
      <w:proofErr w:type="gramStart"/>
      <w:r w:rsidRPr="00455E4D">
        <w:rPr>
          <w:rFonts w:asciiTheme="minorHAnsi" w:hAnsiTheme="minorHAnsi" w:cstheme="minorHAnsi"/>
          <w:sz w:val="22"/>
          <w:szCs w:val="28"/>
        </w:rPr>
        <w:t>consumption;</w:t>
      </w:r>
      <w:proofErr w:type="gramEnd"/>
    </w:p>
    <w:p w14:paraId="54D0B0D6" w14:textId="119B1622" w:rsidR="00455E4D" w:rsidRPr="00455E4D" w:rsidRDefault="00CC429D">
      <w:pPr>
        <w:pStyle w:val="ListParagraph"/>
        <w:numPr>
          <w:ilvl w:val="0"/>
          <w:numId w:val="24"/>
        </w:numPr>
        <w:spacing w:after="345" w:line="300" w:lineRule="auto"/>
        <w:jc w:val="both"/>
        <w:rPr>
          <w:rFonts w:asciiTheme="minorHAnsi" w:hAnsiTheme="minorHAnsi" w:cstheme="minorHAnsi"/>
          <w:sz w:val="22"/>
          <w:szCs w:val="28"/>
        </w:rPr>
      </w:pPr>
      <w:r w:rsidRPr="00455E4D">
        <w:rPr>
          <w:rFonts w:asciiTheme="minorHAnsi" w:hAnsiTheme="minorHAnsi" w:cstheme="minorHAnsi"/>
          <w:sz w:val="22"/>
          <w:szCs w:val="28"/>
        </w:rPr>
        <w:t>higher</w:t>
      </w:r>
      <w:r w:rsidR="00D358B2" w:rsidRPr="00455E4D">
        <w:rPr>
          <w:rFonts w:asciiTheme="minorHAnsi" w:hAnsiTheme="minorHAnsi" w:cstheme="minorHAnsi"/>
          <w:sz w:val="22"/>
          <w:szCs w:val="28"/>
        </w:rPr>
        <w:t xml:space="preserve"> </w:t>
      </w:r>
      <w:r w:rsidR="00455E4D" w:rsidRPr="00455E4D">
        <w:rPr>
          <w:rFonts w:asciiTheme="minorHAnsi" w:hAnsiTheme="minorHAnsi" w:cstheme="minorHAnsi"/>
          <w:sz w:val="22"/>
          <w:szCs w:val="28"/>
        </w:rPr>
        <w:t xml:space="preserve">security measures at airports and on flights may become more prevalent, impacting passenger experience and operational </w:t>
      </w:r>
      <w:proofErr w:type="gramStart"/>
      <w:r w:rsidR="00455E4D" w:rsidRPr="00455E4D">
        <w:rPr>
          <w:rFonts w:asciiTheme="minorHAnsi" w:hAnsiTheme="minorHAnsi" w:cstheme="minorHAnsi"/>
          <w:sz w:val="22"/>
          <w:szCs w:val="28"/>
        </w:rPr>
        <w:t>efficiency;</w:t>
      </w:r>
      <w:proofErr w:type="gramEnd"/>
    </w:p>
    <w:p w14:paraId="651CDD4D" w14:textId="02820AD9" w:rsidR="00455E4D" w:rsidRPr="00455E4D" w:rsidRDefault="00455E4D">
      <w:pPr>
        <w:pStyle w:val="ListParagraph"/>
        <w:numPr>
          <w:ilvl w:val="0"/>
          <w:numId w:val="24"/>
        </w:numPr>
        <w:spacing w:after="345" w:line="300" w:lineRule="auto"/>
        <w:jc w:val="both"/>
        <w:rPr>
          <w:rFonts w:asciiTheme="minorHAnsi" w:hAnsiTheme="minorHAnsi" w:cstheme="minorHAnsi"/>
          <w:sz w:val="22"/>
          <w:szCs w:val="28"/>
        </w:rPr>
      </w:pPr>
      <w:r w:rsidRPr="00455E4D">
        <w:rPr>
          <w:rFonts w:asciiTheme="minorHAnsi" w:hAnsiTheme="minorHAnsi" w:cstheme="minorHAnsi"/>
          <w:sz w:val="22"/>
          <w:szCs w:val="28"/>
        </w:rPr>
        <w:t>worsen the economic instability, affecting passenger demand</w:t>
      </w:r>
      <w:r w:rsidR="00D358B2">
        <w:rPr>
          <w:rFonts w:asciiTheme="minorHAnsi" w:hAnsiTheme="minorHAnsi" w:cstheme="minorHAnsi"/>
          <w:sz w:val="22"/>
          <w:szCs w:val="28"/>
        </w:rPr>
        <w:t>s</w:t>
      </w:r>
      <w:r w:rsidRPr="00455E4D">
        <w:rPr>
          <w:rFonts w:asciiTheme="minorHAnsi" w:hAnsiTheme="minorHAnsi" w:cstheme="minorHAnsi"/>
          <w:sz w:val="22"/>
          <w:szCs w:val="28"/>
        </w:rPr>
        <w:t xml:space="preserve"> and airline </w:t>
      </w:r>
      <w:r w:rsidR="000F0153" w:rsidRPr="00455E4D">
        <w:rPr>
          <w:rFonts w:asciiTheme="minorHAnsi" w:hAnsiTheme="minorHAnsi" w:cstheme="minorHAnsi"/>
          <w:sz w:val="22"/>
          <w:szCs w:val="28"/>
        </w:rPr>
        <w:t>profitabilit</w:t>
      </w:r>
      <w:r w:rsidR="000F0153">
        <w:rPr>
          <w:rFonts w:asciiTheme="minorHAnsi" w:hAnsiTheme="minorHAnsi" w:cstheme="minorHAnsi"/>
          <w:sz w:val="22"/>
          <w:szCs w:val="28"/>
        </w:rPr>
        <w:t>y</w:t>
      </w:r>
      <w:r w:rsidRPr="00455E4D">
        <w:rPr>
          <w:rFonts w:asciiTheme="minorHAnsi" w:hAnsiTheme="minorHAnsi" w:cstheme="minorHAnsi"/>
          <w:sz w:val="22"/>
          <w:szCs w:val="28"/>
        </w:rPr>
        <w:t xml:space="preserve">, this can result in reduced flight frequencies and potential route </w:t>
      </w:r>
      <w:proofErr w:type="gramStart"/>
      <w:r w:rsidRPr="00455E4D">
        <w:rPr>
          <w:rFonts w:asciiTheme="minorHAnsi" w:hAnsiTheme="minorHAnsi" w:cstheme="minorHAnsi"/>
          <w:sz w:val="22"/>
          <w:szCs w:val="28"/>
        </w:rPr>
        <w:t>cancellations;</w:t>
      </w:r>
      <w:proofErr w:type="gramEnd"/>
    </w:p>
    <w:p w14:paraId="1F62D1D4" w14:textId="77E620A4" w:rsidR="00455E4D" w:rsidRPr="00455E4D" w:rsidRDefault="00455E4D">
      <w:pPr>
        <w:pStyle w:val="ListParagraph"/>
        <w:numPr>
          <w:ilvl w:val="0"/>
          <w:numId w:val="24"/>
        </w:numPr>
        <w:spacing w:after="345" w:line="300" w:lineRule="auto"/>
        <w:jc w:val="both"/>
        <w:rPr>
          <w:rFonts w:asciiTheme="minorHAnsi" w:hAnsiTheme="minorHAnsi" w:cstheme="minorHAnsi"/>
          <w:sz w:val="22"/>
          <w:szCs w:val="28"/>
        </w:rPr>
      </w:pPr>
      <w:r w:rsidRPr="00455E4D">
        <w:rPr>
          <w:rFonts w:asciiTheme="minorHAnsi" w:hAnsiTheme="minorHAnsi" w:cstheme="minorHAnsi"/>
          <w:sz w:val="22"/>
          <w:szCs w:val="28"/>
        </w:rPr>
        <w:t>further disruption</w:t>
      </w:r>
      <w:r w:rsidR="00D358B2">
        <w:rPr>
          <w:rFonts w:asciiTheme="minorHAnsi" w:hAnsiTheme="minorHAnsi" w:cstheme="minorHAnsi"/>
          <w:sz w:val="22"/>
          <w:szCs w:val="28"/>
        </w:rPr>
        <w:t>s</w:t>
      </w:r>
      <w:r w:rsidRPr="00455E4D">
        <w:rPr>
          <w:rFonts w:asciiTheme="minorHAnsi" w:hAnsiTheme="minorHAnsi" w:cstheme="minorHAnsi"/>
          <w:sz w:val="22"/>
          <w:szCs w:val="28"/>
        </w:rPr>
        <w:t xml:space="preserve"> to the supply chain for aircraft parts and fuel, leading to operational challenges for </w:t>
      </w:r>
      <w:proofErr w:type="gramStart"/>
      <w:r w:rsidRPr="00455E4D">
        <w:rPr>
          <w:rFonts w:asciiTheme="minorHAnsi" w:hAnsiTheme="minorHAnsi" w:cstheme="minorHAnsi"/>
          <w:sz w:val="22"/>
          <w:szCs w:val="28"/>
        </w:rPr>
        <w:t>airlines;</w:t>
      </w:r>
      <w:proofErr w:type="gramEnd"/>
    </w:p>
    <w:p w14:paraId="2D187959" w14:textId="77777777" w:rsidR="00455E4D" w:rsidRPr="00455E4D" w:rsidRDefault="00455E4D">
      <w:pPr>
        <w:pStyle w:val="ListParagraph"/>
        <w:numPr>
          <w:ilvl w:val="0"/>
          <w:numId w:val="24"/>
        </w:numPr>
        <w:spacing w:after="345" w:line="300" w:lineRule="auto"/>
        <w:jc w:val="both"/>
        <w:rPr>
          <w:rFonts w:asciiTheme="minorHAnsi" w:hAnsiTheme="minorHAnsi" w:cstheme="minorHAnsi"/>
          <w:sz w:val="22"/>
          <w:szCs w:val="28"/>
        </w:rPr>
      </w:pPr>
      <w:r w:rsidRPr="00455E4D">
        <w:rPr>
          <w:rFonts w:asciiTheme="minorHAnsi" w:hAnsiTheme="minorHAnsi" w:cstheme="minorHAnsi"/>
          <w:sz w:val="22"/>
          <w:szCs w:val="28"/>
        </w:rPr>
        <w:t>new regulatory requirements in response to conflicts, affecting airline operations and compliance requirements.</w:t>
      </w:r>
    </w:p>
    <w:p w14:paraId="2DDA2119" w14:textId="1D186A8F" w:rsidR="00455E4D" w:rsidRPr="00363CAF" w:rsidRDefault="00455E4D" w:rsidP="00363CAF">
      <w:pPr>
        <w:pStyle w:val="Standardtext"/>
      </w:pPr>
      <w:r w:rsidRPr="00363CAF">
        <w:rPr>
          <w:rStyle w:val="Strong"/>
        </w:rPr>
        <w:t>Climate change</w:t>
      </w:r>
      <w:r w:rsidRPr="00363CAF">
        <w:t xml:space="preserve"> is leading to more frequent and intense extreme weather events, such as storms, heatwaves, heavy precipitation, and flooding</w:t>
      </w:r>
      <w:r w:rsidRPr="00363CAF">
        <w:rPr>
          <w:rStyle w:val="FootnoteReference"/>
          <w:vertAlign w:val="baseline"/>
        </w:rPr>
        <w:footnoteReference w:id="11"/>
      </w:r>
      <w:r w:rsidRPr="00363CAF">
        <w:t>. These events can disrupt flight schedules and airport operations. Changes in temperature and precipitation patterns can affect the predictability of weather, making it more challenging for airlines and air traffic controllers to plan and manage flights. Higher temperatures can impact aircraft performance, particularly during take</w:t>
      </w:r>
      <w:r w:rsidR="00D358B2">
        <w:t>-</w:t>
      </w:r>
      <w:r w:rsidRPr="00363CAF">
        <w:t xml:space="preserve">off and landing, and may require adjustments in flight operations to ensure safety. Severe weather can affect air traffic flow management, leading to rerouting and increased fuel consumption. Airports will also need to adapt </w:t>
      </w:r>
      <w:proofErr w:type="gramStart"/>
      <w:r w:rsidRPr="00363CAF">
        <w:t>to withstand</w:t>
      </w:r>
      <w:proofErr w:type="gramEnd"/>
      <w:r w:rsidRPr="00363CAF">
        <w:t xml:space="preserve"> </w:t>
      </w:r>
      <w:r w:rsidR="000F0153">
        <w:t xml:space="preserve">the </w:t>
      </w:r>
      <w:r w:rsidRPr="00363CAF">
        <w:t>extreme weather conditions.</w:t>
      </w:r>
    </w:p>
    <w:p w14:paraId="51D172FB" w14:textId="5547D533" w:rsidR="001B1802" w:rsidRPr="00363CAF" w:rsidRDefault="001B1802">
      <w:pPr>
        <w:pStyle w:val="Heading2"/>
        <w:numPr>
          <w:ilvl w:val="1"/>
          <w:numId w:val="33"/>
        </w:numPr>
        <w:ind w:left="567" w:hanging="567"/>
      </w:pPr>
      <w:bookmarkStart w:id="82" w:name="_Toc213137993"/>
      <w:r w:rsidRPr="00363CAF">
        <w:t>Regional safety issues, goals and targets</w:t>
      </w:r>
      <w:bookmarkEnd w:id="82"/>
    </w:p>
    <w:p w14:paraId="6A9D4754" w14:textId="04AC1F79" w:rsidR="001B1802" w:rsidRPr="00363CAF" w:rsidRDefault="001B1802" w:rsidP="00363CAF">
      <w:pPr>
        <w:pStyle w:val="Standardtext"/>
      </w:pPr>
      <w:r w:rsidRPr="00363CAF">
        <w:t>The EUR RASP addresses the following regional safety issues:</w:t>
      </w:r>
    </w:p>
    <w:p w14:paraId="2EC64240" w14:textId="77777777" w:rsidR="001B1802" w:rsidRPr="00363CAF" w:rsidRDefault="001B1802" w:rsidP="00363CAF"/>
    <w:p w14:paraId="51636131" w14:textId="77777777" w:rsidR="001B1802" w:rsidRPr="00FE366F" w:rsidRDefault="001B1802">
      <w:pPr>
        <w:pStyle w:val="Indent-a"/>
        <w:numPr>
          <w:ilvl w:val="0"/>
          <w:numId w:val="42"/>
        </w:numPr>
        <w:rPr>
          <w:rFonts w:asciiTheme="minorHAnsi" w:hAnsiTheme="minorHAnsi" w:cstheme="minorHAnsi"/>
          <w:spacing w:val="-2"/>
          <w:sz w:val="22"/>
          <w:szCs w:val="22"/>
        </w:rPr>
      </w:pPr>
      <w:r w:rsidRPr="000439E2">
        <w:rPr>
          <w:rFonts w:asciiTheme="minorHAnsi" w:hAnsiTheme="minorHAnsi" w:cstheme="minorHAnsi"/>
          <w:spacing w:val="-2"/>
          <w:sz w:val="22"/>
          <w:szCs w:val="22"/>
        </w:rPr>
        <w:t>O</w:t>
      </w:r>
      <w:r w:rsidRPr="00FE366F">
        <w:rPr>
          <w:rFonts w:asciiTheme="minorHAnsi" w:hAnsiTheme="minorHAnsi" w:cstheme="minorHAnsi"/>
          <w:spacing w:val="-2"/>
          <w:sz w:val="22"/>
          <w:szCs w:val="22"/>
        </w:rPr>
        <w:t>perational safety risks</w:t>
      </w:r>
    </w:p>
    <w:p w14:paraId="546553DD" w14:textId="6C961C58" w:rsidR="001B1802" w:rsidRPr="00FE366F" w:rsidRDefault="001B1802" w:rsidP="00363CAF">
      <w:pPr>
        <w:pStyle w:val="Indent-a"/>
        <w:ind w:left="2880"/>
        <w:rPr>
          <w:rFonts w:asciiTheme="minorHAnsi" w:hAnsiTheme="minorHAnsi" w:cstheme="minorHAnsi"/>
          <w:sz w:val="22"/>
          <w:szCs w:val="22"/>
        </w:rPr>
      </w:pPr>
      <w:r w:rsidRPr="000439E2">
        <w:rPr>
          <w:rFonts w:asciiTheme="minorHAnsi" w:hAnsiTheme="minorHAnsi" w:cstheme="minorHAnsi"/>
          <w:spacing w:val="-2"/>
          <w:sz w:val="22"/>
          <w:szCs w:val="22"/>
          <w:shd w:val="pct15" w:color="auto" w:fill="FFFFFF"/>
        </w:rPr>
        <w:t>R</w:t>
      </w:r>
      <w:r w:rsidRPr="00FE366F">
        <w:rPr>
          <w:rFonts w:asciiTheme="minorHAnsi" w:hAnsiTheme="minorHAnsi" w:cstheme="minorHAnsi"/>
          <w:sz w:val="22"/>
          <w:szCs w:val="22"/>
        </w:rPr>
        <w:t>-HRC 1.</w:t>
      </w:r>
      <w:r w:rsidRPr="00FE366F">
        <w:rPr>
          <w:rFonts w:asciiTheme="minorHAnsi" w:hAnsiTheme="minorHAnsi" w:cstheme="minorHAnsi"/>
          <w:sz w:val="22"/>
          <w:szCs w:val="22"/>
        </w:rPr>
        <w:tab/>
        <w:t>Controlled Flight into Terrain (CFIT)</w:t>
      </w:r>
    </w:p>
    <w:p w14:paraId="27504488" w14:textId="2E0BE1E8" w:rsidR="000439E2" w:rsidRPr="00FE366F" w:rsidRDefault="001B1802" w:rsidP="00363CAF">
      <w:pPr>
        <w:pStyle w:val="Indent-a"/>
        <w:ind w:left="2880"/>
        <w:rPr>
          <w:rFonts w:asciiTheme="minorHAnsi" w:hAnsiTheme="minorHAnsi" w:cstheme="minorHAnsi"/>
          <w:sz w:val="22"/>
          <w:szCs w:val="22"/>
        </w:rPr>
      </w:pPr>
      <w:r w:rsidRPr="00FE366F">
        <w:rPr>
          <w:rFonts w:asciiTheme="minorHAnsi" w:hAnsiTheme="minorHAnsi" w:cstheme="minorHAnsi"/>
          <w:sz w:val="22"/>
          <w:szCs w:val="22"/>
        </w:rPr>
        <w:t xml:space="preserve">R-HRC </w:t>
      </w:r>
      <w:r w:rsidR="000439E2" w:rsidRPr="00FE366F">
        <w:rPr>
          <w:rFonts w:asciiTheme="minorHAnsi" w:hAnsiTheme="minorHAnsi" w:cstheme="minorHAnsi"/>
          <w:sz w:val="22"/>
          <w:szCs w:val="22"/>
        </w:rPr>
        <w:t>2</w:t>
      </w:r>
      <w:r w:rsidRPr="00FE366F">
        <w:rPr>
          <w:rFonts w:asciiTheme="minorHAnsi" w:hAnsiTheme="minorHAnsi" w:cstheme="minorHAnsi"/>
          <w:sz w:val="22"/>
          <w:szCs w:val="22"/>
        </w:rPr>
        <w:t>.</w:t>
      </w:r>
      <w:r w:rsidRPr="00FE366F">
        <w:rPr>
          <w:rFonts w:asciiTheme="minorHAnsi" w:hAnsiTheme="minorHAnsi" w:cstheme="minorHAnsi"/>
          <w:sz w:val="22"/>
          <w:szCs w:val="22"/>
        </w:rPr>
        <w:tab/>
        <w:t>Loss of Control in-flight (LOC-I)</w:t>
      </w:r>
    </w:p>
    <w:p w14:paraId="4B336E44" w14:textId="573FD192" w:rsidR="001B1802" w:rsidRPr="00FE366F" w:rsidRDefault="001B1802" w:rsidP="00363CAF">
      <w:pPr>
        <w:pStyle w:val="Indent-a"/>
        <w:ind w:left="2880"/>
        <w:rPr>
          <w:rFonts w:asciiTheme="minorHAnsi" w:hAnsiTheme="minorHAnsi" w:cstheme="minorHAnsi"/>
          <w:sz w:val="22"/>
          <w:szCs w:val="22"/>
        </w:rPr>
      </w:pPr>
      <w:r w:rsidRPr="00FE366F">
        <w:rPr>
          <w:rFonts w:asciiTheme="minorHAnsi" w:hAnsiTheme="minorHAnsi" w:cstheme="minorHAnsi"/>
          <w:sz w:val="22"/>
          <w:szCs w:val="22"/>
        </w:rPr>
        <w:t xml:space="preserve">R-HRC </w:t>
      </w:r>
      <w:r w:rsidR="000439E2" w:rsidRPr="00FE366F">
        <w:rPr>
          <w:rFonts w:asciiTheme="minorHAnsi" w:hAnsiTheme="minorHAnsi" w:cstheme="minorHAnsi"/>
          <w:sz w:val="22"/>
          <w:szCs w:val="22"/>
        </w:rPr>
        <w:t>3</w:t>
      </w:r>
      <w:r w:rsidRPr="00FE366F">
        <w:rPr>
          <w:rFonts w:asciiTheme="minorHAnsi" w:hAnsiTheme="minorHAnsi" w:cstheme="minorHAnsi"/>
          <w:sz w:val="22"/>
          <w:szCs w:val="22"/>
        </w:rPr>
        <w:t>.</w:t>
      </w:r>
      <w:r w:rsidRPr="00FE366F">
        <w:rPr>
          <w:rFonts w:asciiTheme="minorHAnsi" w:hAnsiTheme="minorHAnsi" w:cstheme="minorHAnsi"/>
          <w:sz w:val="22"/>
          <w:szCs w:val="22"/>
        </w:rPr>
        <w:tab/>
        <w:t>Mid-air Collision (MAC)</w:t>
      </w:r>
    </w:p>
    <w:p w14:paraId="71380153" w14:textId="2F9608F5" w:rsidR="001B1802" w:rsidRPr="00FE366F" w:rsidRDefault="001B1802" w:rsidP="00363CAF">
      <w:pPr>
        <w:pStyle w:val="Indent-a"/>
        <w:ind w:left="2880"/>
        <w:rPr>
          <w:rFonts w:asciiTheme="minorHAnsi" w:hAnsiTheme="minorHAnsi" w:cstheme="minorHAnsi"/>
          <w:sz w:val="22"/>
          <w:szCs w:val="22"/>
        </w:rPr>
      </w:pPr>
      <w:r w:rsidRPr="00FE366F">
        <w:rPr>
          <w:rFonts w:asciiTheme="minorHAnsi" w:hAnsiTheme="minorHAnsi" w:cstheme="minorHAnsi"/>
          <w:sz w:val="22"/>
          <w:szCs w:val="22"/>
        </w:rPr>
        <w:t xml:space="preserve">R-HRC </w:t>
      </w:r>
      <w:r w:rsidR="000439E2" w:rsidRPr="00FE366F">
        <w:rPr>
          <w:rFonts w:asciiTheme="minorHAnsi" w:hAnsiTheme="minorHAnsi" w:cstheme="minorHAnsi"/>
          <w:sz w:val="22"/>
          <w:szCs w:val="22"/>
        </w:rPr>
        <w:t>4</w:t>
      </w:r>
      <w:r w:rsidRPr="00FE366F">
        <w:rPr>
          <w:rFonts w:asciiTheme="minorHAnsi" w:hAnsiTheme="minorHAnsi" w:cstheme="minorHAnsi"/>
          <w:sz w:val="22"/>
          <w:szCs w:val="22"/>
        </w:rPr>
        <w:t>.</w:t>
      </w:r>
      <w:r w:rsidRPr="00FE366F">
        <w:rPr>
          <w:rFonts w:asciiTheme="minorHAnsi" w:hAnsiTheme="minorHAnsi" w:cstheme="minorHAnsi"/>
          <w:sz w:val="22"/>
          <w:szCs w:val="22"/>
        </w:rPr>
        <w:tab/>
        <w:t>Runway Excursions (RE)</w:t>
      </w:r>
    </w:p>
    <w:p w14:paraId="0C97BBFA" w14:textId="29E274CC" w:rsidR="001B1802" w:rsidRPr="00FE366F" w:rsidRDefault="001B1802" w:rsidP="00363CAF">
      <w:pPr>
        <w:pStyle w:val="Indent-a"/>
        <w:ind w:left="2880"/>
        <w:rPr>
          <w:rFonts w:asciiTheme="minorHAnsi" w:hAnsiTheme="minorHAnsi" w:cstheme="minorHAnsi"/>
          <w:sz w:val="22"/>
          <w:szCs w:val="22"/>
        </w:rPr>
      </w:pPr>
      <w:r w:rsidRPr="00FE366F">
        <w:rPr>
          <w:rFonts w:asciiTheme="minorHAnsi" w:hAnsiTheme="minorHAnsi" w:cstheme="minorHAnsi"/>
          <w:sz w:val="22"/>
          <w:szCs w:val="22"/>
        </w:rPr>
        <w:t xml:space="preserve">R-HRC </w:t>
      </w:r>
      <w:r w:rsidR="000439E2" w:rsidRPr="00FE366F">
        <w:rPr>
          <w:rFonts w:asciiTheme="minorHAnsi" w:hAnsiTheme="minorHAnsi" w:cstheme="minorHAnsi"/>
          <w:sz w:val="22"/>
          <w:szCs w:val="22"/>
        </w:rPr>
        <w:t>5</w:t>
      </w:r>
      <w:r w:rsidRPr="00FE366F">
        <w:rPr>
          <w:rFonts w:asciiTheme="minorHAnsi" w:hAnsiTheme="minorHAnsi" w:cstheme="minorHAnsi"/>
          <w:sz w:val="22"/>
          <w:szCs w:val="22"/>
        </w:rPr>
        <w:t>.</w:t>
      </w:r>
      <w:r w:rsidRPr="00FE366F">
        <w:rPr>
          <w:rFonts w:asciiTheme="minorHAnsi" w:hAnsiTheme="minorHAnsi" w:cstheme="minorHAnsi"/>
          <w:sz w:val="22"/>
          <w:szCs w:val="22"/>
        </w:rPr>
        <w:tab/>
        <w:t>Runway Incursions (RI)</w:t>
      </w:r>
    </w:p>
    <w:p w14:paraId="68B1BDAF" w14:textId="28917F74" w:rsidR="001B1802" w:rsidRPr="00FE366F" w:rsidRDefault="001B1802" w:rsidP="00FE366F">
      <w:pPr>
        <w:pStyle w:val="Indent-a"/>
        <w:ind w:left="2880"/>
        <w:rPr>
          <w:rFonts w:asciiTheme="minorHAnsi" w:hAnsiTheme="minorHAnsi" w:cstheme="minorHAnsi"/>
          <w:sz w:val="22"/>
          <w:szCs w:val="22"/>
        </w:rPr>
      </w:pPr>
      <w:r w:rsidRPr="00FE366F">
        <w:rPr>
          <w:rFonts w:asciiTheme="minorHAnsi" w:hAnsiTheme="minorHAnsi" w:cstheme="minorHAnsi"/>
          <w:sz w:val="22"/>
          <w:szCs w:val="22"/>
        </w:rPr>
        <w:t>R-ORC 1.</w:t>
      </w:r>
      <w:r w:rsidRPr="00FE366F">
        <w:rPr>
          <w:rFonts w:asciiTheme="minorHAnsi" w:hAnsiTheme="minorHAnsi" w:cstheme="minorHAnsi"/>
          <w:sz w:val="22"/>
          <w:szCs w:val="22"/>
        </w:rPr>
        <w:tab/>
        <w:t>Abnormal Runway Contact (ARC)</w:t>
      </w:r>
    </w:p>
    <w:p w14:paraId="315019AF" w14:textId="77777777" w:rsidR="001B1802" w:rsidRPr="000439E2" w:rsidRDefault="001B1802" w:rsidP="00363CAF">
      <w:pPr>
        <w:pStyle w:val="Indent-a"/>
        <w:ind w:firstLine="0"/>
        <w:rPr>
          <w:rFonts w:asciiTheme="minorHAnsi" w:hAnsiTheme="minorHAnsi" w:cstheme="minorHAnsi"/>
          <w:spacing w:val="-2"/>
          <w:sz w:val="22"/>
          <w:szCs w:val="22"/>
          <w:shd w:val="pct15" w:color="auto" w:fill="FFFFFF"/>
        </w:rPr>
      </w:pPr>
    </w:p>
    <w:p w14:paraId="47B371D8" w14:textId="77777777" w:rsidR="001B1802" w:rsidRPr="00FE366F" w:rsidRDefault="001B1802">
      <w:pPr>
        <w:pStyle w:val="Indent-a"/>
        <w:numPr>
          <w:ilvl w:val="0"/>
          <w:numId w:val="42"/>
        </w:numPr>
        <w:rPr>
          <w:rFonts w:asciiTheme="minorHAnsi" w:hAnsiTheme="minorHAnsi" w:cstheme="minorHAnsi"/>
          <w:spacing w:val="-2"/>
          <w:sz w:val="22"/>
          <w:szCs w:val="22"/>
        </w:rPr>
      </w:pPr>
      <w:r w:rsidRPr="00FE366F">
        <w:rPr>
          <w:rFonts w:asciiTheme="minorHAnsi" w:hAnsiTheme="minorHAnsi" w:cstheme="minorHAnsi"/>
          <w:spacing w:val="-2"/>
          <w:sz w:val="22"/>
          <w:szCs w:val="22"/>
        </w:rPr>
        <w:t xml:space="preserve">Organizational challenges </w:t>
      </w:r>
    </w:p>
    <w:p w14:paraId="392FA0C7" w14:textId="77777777" w:rsidR="001B1802" w:rsidRPr="00363CAF" w:rsidRDefault="001B1802"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R-ORG 1.</w:t>
      </w:r>
      <w:r w:rsidRPr="00363CAF">
        <w:rPr>
          <w:rFonts w:asciiTheme="minorHAnsi" w:hAnsiTheme="minorHAnsi" w:cstheme="minorHAnsi"/>
          <w:sz w:val="22"/>
          <w:szCs w:val="22"/>
        </w:rPr>
        <w:tab/>
        <w:t>Lengthy processes to amend primary aviation legislation and operating aviation regulations</w:t>
      </w:r>
    </w:p>
    <w:p w14:paraId="7337BC9E" w14:textId="77777777" w:rsidR="001B1802" w:rsidRPr="00363CAF" w:rsidRDefault="001B1802"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R-ORG 2.</w:t>
      </w:r>
      <w:r w:rsidRPr="00363CAF">
        <w:rPr>
          <w:rFonts w:asciiTheme="minorHAnsi" w:hAnsiTheme="minorHAnsi" w:cstheme="minorHAnsi"/>
          <w:sz w:val="22"/>
          <w:szCs w:val="22"/>
        </w:rPr>
        <w:tab/>
        <w:t xml:space="preserve">Effectiveness and the sustainability of the State’s safety oversight system </w:t>
      </w:r>
    </w:p>
    <w:p w14:paraId="3C4C00CB" w14:textId="5AF38FF1" w:rsidR="001B1802" w:rsidRPr="00363CAF" w:rsidRDefault="001B1802"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R-ORG 3.</w:t>
      </w:r>
      <w:r w:rsidRPr="00363CAF">
        <w:rPr>
          <w:rFonts w:asciiTheme="minorHAnsi" w:hAnsiTheme="minorHAnsi" w:cstheme="minorHAnsi"/>
          <w:sz w:val="22"/>
          <w:szCs w:val="22"/>
        </w:rPr>
        <w:tab/>
        <w:t>Lack of qualified and competent technical personnel, primarily aircraft accident investigators and aerodrome inspectors</w:t>
      </w:r>
    </w:p>
    <w:p w14:paraId="4AC74E47" w14:textId="7C9E2FB7" w:rsidR="001B1802" w:rsidRPr="00363CAF" w:rsidRDefault="001B1802"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R-ORG 4.</w:t>
      </w:r>
      <w:r w:rsidRPr="00363CAF">
        <w:rPr>
          <w:rFonts w:asciiTheme="minorHAnsi" w:hAnsiTheme="minorHAnsi" w:cstheme="minorHAnsi"/>
          <w:sz w:val="22"/>
          <w:szCs w:val="22"/>
        </w:rPr>
        <w:tab/>
        <w:t>Effectiveness and independence of the State’s authority in charge of aircraft accident and serious incident investigation</w:t>
      </w:r>
    </w:p>
    <w:p w14:paraId="5B12CE29" w14:textId="56460CC1" w:rsidR="001B1802" w:rsidRPr="00363CAF" w:rsidRDefault="001B1802"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R-ORG 5.</w:t>
      </w:r>
      <w:r w:rsidRPr="00363CAF">
        <w:rPr>
          <w:rFonts w:asciiTheme="minorHAnsi" w:hAnsiTheme="minorHAnsi" w:cstheme="minorHAnsi"/>
          <w:sz w:val="22"/>
          <w:szCs w:val="22"/>
        </w:rPr>
        <w:tab/>
        <w:t xml:space="preserve">Deficiencies in safety data and safety information collection, analysis, and exchange, to support safety management </w:t>
      </w:r>
      <w:r w:rsidR="001500E6" w:rsidRPr="00363CAF">
        <w:rPr>
          <w:rFonts w:asciiTheme="minorHAnsi" w:hAnsiTheme="minorHAnsi" w:cstheme="minorHAnsi"/>
          <w:sz w:val="22"/>
          <w:szCs w:val="22"/>
        </w:rPr>
        <w:t>activities</w:t>
      </w:r>
    </w:p>
    <w:p w14:paraId="7B7BE8F6" w14:textId="61DDB39D" w:rsidR="001B1802" w:rsidRPr="00363CAF" w:rsidRDefault="001B1802"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R-ORG 6.</w:t>
      </w:r>
      <w:r w:rsidRPr="00363CAF">
        <w:rPr>
          <w:rFonts w:asciiTheme="minorHAnsi" w:hAnsiTheme="minorHAnsi" w:cstheme="minorHAnsi"/>
          <w:sz w:val="22"/>
          <w:szCs w:val="22"/>
        </w:rPr>
        <w:tab/>
        <w:t>Lack of State’s capabilities to identify key aviation safety risks, and determine safety goals, safety targets and priority safety actions</w:t>
      </w:r>
    </w:p>
    <w:p w14:paraId="747A21CA" w14:textId="2056CA3B" w:rsidR="001B1802" w:rsidRPr="00363CAF" w:rsidRDefault="001B1802"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R-ORG 7.</w:t>
      </w:r>
      <w:r w:rsidRPr="00363CAF">
        <w:rPr>
          <w:rFonts w:asciiTheme="minorHAnsi" w:hAnsiTheme="minorHAnsi" w:cstheme="minorHAnsi"/>
          <w:sz w:val="22"/>
          <w:szCs w:val="22"/>
        </w:rPr>
        <w:tab/>
        <w:t>Capacity of the CAAs to approve and continuously monitor the service providers’ SMS</w:t>
      </w:r>
    </w:p>
    <w:p w14:paraId="327E8986" w14:textId="04B2D6E0" w:rsidR="00E169F3" w:rsidRPr="00363CAF" w:rsidRDefault="00E169F3"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R-ORG 8.</w:t>
      </w:r>
      <w:r w:rsidRPr="00363CAF">
        <w:rPr>
          <w:rFonts w:asciiTheme="minorHAnsi" w:hAnsiTheme="minorHAnsi" w:cstheme="minorHAnsi"/>
          <w:sz w:val="22"/>
          <w:szCs w:val="22"/>
        </w:rPr>
        <w:tab/>
        <w:t>Human factors and human performance</w:t>
      </w:r>
    </w:p>
    <w:p w14:paraId="2FA7FAF0" w14:textId="77777777" w:rsidR="00E169F3" w:rsidRPr="00363CAF" w:rsidRDefault="00E169F3"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lastRenderedPageBreak/>
        <w:t>R-ORG 9.</w:t>
      </w:r>
      <w:r w:rsidRPr="00363CAF">
        <w:rPr>
          <w:rFonts w:asciiTheme="minorHAnsi" w:hAnsiTheme="minorHAnsi" w:cstheme="minorHAnsi"/>
          <w:sz w:val="22"/>
          <w:szCs w:val="22"/>
        </w:rPr>
        <w:tab/>
        <w:t>Competence of operational personnel and language proficiency</w:t>
      </w:r>
    </w:p>
    <w:p w14:paraId="7E129740" w14:textId="3778DB36" w:rsidR="00E169F3" w:rsidRPr="00363CAF" w:rsidRDefault="00E169F3"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R-ORG 10.</w:t>
      </w:r>
      <w:r w:rsidRPr="00363CAF">
        <w:rPr>
          <w:rFonts w:asciiTheme="minorHAnsi" w:hAnsiTheme="minorHAnsi" w:cstheme="minorHAnsi"/>
          <w:sz w:val="22"/>
          <w:szCs w:val="22"/>
        </w:rPr>
        <w:tab/>
        <w:t>Impact of security on safety</w:t>
      </w:r>
    </w:p>
    <w:p w14:paraId="070065D8" w14:textId="4F79DA81" w:rsidR="00E169F3" w:rsidRPr="00363CAF" w:rsidRDefault="00E169F3"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R-ORG 11.</w:t>
      </w:r>
      <w:r w:rsidRPr="00363CAF">
        <w:rPr>
          <w:rFonts w:asciiTheme="minorHAnsi" w:hAnsiTheme="minorHAnsi" w:cstheme="minorHAnsi"/>
          <w:sz w:val="22"/>
          <w:szCs w:val="22"/>
        </w:rPr>
        <w:tab/>
        <w:t>Civil-military coordination and cooperation</w:t>
      </w:r>
    </w:p>
    <w:p w14:paraId="41C02EBE" w14:textId="77777777" w:rsidR="00E169F3" w:rsidRPr="00363CAF" w:rsidRDefault="00E169F3" w:rsidP="00363CAF">
      <w:pPr>
        <w:pStyle w:val="Indent-a"/>
        <w:ind w:left="2880"/>
        <w:rPr>
          <w:rFonts w:asciiTheme="minorHAnsi" w:hAnsiTheme="minorHAnsi" w:cstheme="minorHAnsi"/>
          <w:sz w:val="22"/>
          <w:szCs w:val="22"/>
        </w:rPr>
      </w:pPr>
    </w:p>
    <w:p w14:paraId="14B9C6F1" w14:textId="32357417" w:rsidR="001B1802" w:rsidRPr="00363CAF" w:rsidRDefault="001B1802">
      <w:pPr>
        <w:pStyle w:val="Indent-a"/>
        <w:numPr>
          <w:ilvl w:val="0"/>
          <w:numId w:val="42"/>
        </w:numPr>
        <w:rPr>
          <w:rFonts w:asciiTheme="minorHAnsi" w:hAnsiTheme="minorHAnsi" w:cstheme="minorHAnsi"/>
          <w:sz w:val="22"/>
          <w:szCs w:val="22"/>
        </w:rPr>
      </w:pPr>
      <w:r w:rsidRPr="00363CAF">
        <w:rPr>
          <w:rFonts w:asciiTheme="minorHAnsi" w:hAnsiTheme="minorHAnsi" w:cstheme="minorHAnsi"/>
          <w:sz w:val="22"/>
          <w:szCs w:val="22"/>
        </w:rPr>
        <w:t>Emerging issues</w:t>
      </w:r>
    </w:p>
    <w:p w14:paraId="40DD88E5" w14:textId="77777777" w:rsidR="00E169F3" w:rsidRPr="00363CAF" w:rsidRDefault="00E169F3" w:rsidP="00363CAF">
      <w:pPr>
        <w:pStyle w:val="Indent-a"/>
        <w:ind w:left="2880"/>
        <w:rPr>
          <w:rFonts w:asciiTheme="minorHAnsi" w:hAnsiTheme="minorHAnsi" w:cstheme="minorHAnsi"/>
          <w:sz w:val="22"/>
          <w:szCs w:val="22"/>
          <w:lang w:val="fr-FR"/>
        </w:rPr>
      </w:pPr>
      <w:r w:rsidRPr="00363CAF">
        <w:rPr>
          <w:rFonts w:asciiTheme="minorHAnsi" w:hAnsiTheme="minorHAnsi" w:cstheme="minorHAnsi"/>
          <w:sz w:val="22"/>
          <w:szCs w:val="22"/>
          <w:lang w:val="fr-FR"/>
        </w:rPr>
        <w:t>R-EMI 1.</w:t>
      </w:r>
      <w:r w:rsidRPr="00363CAF">
        <w:rPr>
          <w:rFonts w:asciiTheme="minorHAnsi" w:hAnsiTheme="minorHAnsi" w:cstheme="minorHAnsi"/>
          <w:sz w:val="22"/>
          <w:szCs w:val="22"/>
          <w:lang w:val="fr-FR"/>
        </w:rPr>
        <w:tab/>
        <w:t>Artificial intelligence (AI)</w:t>
      </w:r>
    </w:p>
    <w:p w14:paraId="0DD983AC" w14:textId="77777777" w:rsidR="00E169F3" w:rsidRPr="00363CAF" w:rsidRDefault="00E169F3"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R-EMI 2.</w:t>
      </w:r>
      <w:r w:rsidRPr="00363CAF">
        <w:rPr>
          <w:rFonts w:asciiTheme="minorHAnsi" w:hAnsiTheme="minorHAnsi" w:cstheme="minorHAnsi"/>
          <w:sz w:val="22"/>
          <w:szCs w:val="22"/>
        </w:rPr>
        <w:tab/>
        <w:t>Ensure the safe operation of UAS (drones)</w:t>
      </w:r>
    </w:p>
    <w:p w14:paraId="6C9D2616" w14:textId="77777777" w:rsidR="00E169F3" w:rsidRPr="00363CAF" w:rsidRDefault="00E169F3"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R-EMI 3.</w:t>
      </w:r>
      <w:r w:rsidRPr="00363CAF">
        <w:rPr>
          <w:rFonts w:asciiTheme="minorHAnsi" w:hAnsiTheme="minorHAnsi" w:cstheme="minorHAnsi"/>
          <w:sz w:val="22"/>
          <w:szCs w:val="22"/>
        </w:rPr>
        <w:tab/>
        <w:t>New operating concepts and business models</w:t>
      </w:r>
    </w:p>
    <w:p w14:paraId="63CB1A91" w14:textId="77777777" w:rsidR="00E169F3" w:rsidRPr="00363CAF" w:rsidRDefault="00E169F3"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R-EMI 4.</w:t>
      </w:r>
      <w:r w:rsidRPr="00363CAF">
        <w:rPr>
          <w:rFonts w:asciiTheme="minorHAnsi" w:hAnsiTheme="minorHAnsi" w:cstheme="minorHAnsi"/>
          <w:sz w:val="22"/>
          <w:szCs w:val="22"/>
        </w:rPr>
        <w:tab/>
        <w:t>Electric and hybrid propulsion, vertical take-off and landing (VTOL) aircraft and hydrogen-powered technologies</w:t>
      </w:r>
    </w:p>
    <w:p w14:paraId="01C72132" w14:textId="77777777" w:rsidR="00E169F3" w:rsidRPr="00363CAF" w:rsidRDefault="00E169F3"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R-EMI 5.</w:t>
      </w:r>
      <w:r w:rsidRPr="00363CAF">
        <w:rPr>
          <w:rFonts w:asciiTheme="minorHAnsi" w:hAnsiTheme="minorHAnsi" w:cstheme="minorHAnsi"/>
          <w:sz w:val="22"/>
          <w:szCs w:val="22"/>
        </w:rPr>
        <w:tab/>
        <w:t>Prepare for safe higher airspace operations</w:t>
      </w:r>
    </w:p>
    <w:p w14:paraId="2D442087" w14:textId="4F511996" w:rsidR="001B1802" w:rsidRPr="00363CAF" w:rsidRDefault="00E169F3" w:rsidP="00363CAF">
      <w:pPr>
        <w:pStyle w:val="Indent-a"/>
        <w:ind w:left="2880"/>
        <w:rPr>
          <w:rFonts w:asciiTheme="minorHAnsi" w:hAnsiTheme="minorHAnsi" w:cstheme="minorHAnsi"/>
          <w:sz w:val="22"/>
          <w:szCs w:val="22"/>
        </w:rPr>
      </w:pPr>
      <w:r w:rsidRPr="00363CAF">
        <w:rPr>
          <w:rFonts w:asciiTheme="minorHAnsi" w:hAnsiTheme="minorHAnsi" w:cstheme="minorHAnsi"/>
          <w:sz w:val="22"/>
          <w:szCs w:val="22"/>
        </w:rPr>
        <w:t>R-EMI 6.</w:t>
      </w:r>
      <w:r w:rsidRPr="00363CAF">
        <w:rPr>
          <w:rFonts w:asciiTheme="minorHAnsi" w:hAnsiTheme="minorHAnsi" w:cstheme="minorHAnsi"/>
          <w:sz w:val="22"/>
          <w:szCs w:val="22"/>
        </w:rPr>
        <w:tab/>
        <w:t>Environment</w:t>
      </w:r>
    </w:p>
    <w:p w14:paraId="01131B5F" w14:textId="77777777" w:rsidR="00E169F3" w:rsidRPr="00363CAF" w:rsidRDefault="00E169F3" w:rsidP="00363CAF">
      <w:pPr>
        <w:rPr>
          <w:rFonts w:asciiTheme="minorHAnsi" w:hAnsiTheme="minorHAnsi" w:cstheme="minorHAnsi"/>
          <w:sz w:val="22"/>
          <w:szCs w:val="22"/>
        </w:rPr>
      </w:pPr>
    </w:p>
    <w:p w14:paraId="04ECAFB1" w14:textId="1635B5D8" w:rsidR="001B1802" w:rsidRPr="00363CAF" w:rsidRDefault="001B1802" w:rsidP="00363CAF">
      <w:pPr>
        <w:pStyle w:val="Standardtext"/>
      </w:pPr>
      <w:r w:rsidRPr="00363CAF">
        <w:t>To address the issues listed above and enhance aviation safety at the regional level, the EUR RASP 2026-2028 contains the following goals and targets:</w:t>
      </w:r>
    </w:p>
    <w:p w14:paraId="02BC9733" w14:textId="60E4B337" w:rsidR="00E169F3" w:rsidRPr="00363CAF" w:rsidRDefault="00E169F3">
      <w:pPr>
        <w:pStyle w:val="Standardtext"/>
        <w:numPr>
          <w:ilvl w:val="0"/>
          <w:numId w:val="43"/>
        </w:numPr>
      </w:pPr>
      <w:r w:rsidRPr="00363CAF">
        <w:t>GASP Goal 1: Achieve a continuous reduction of operational safety risks</w:t>
      </w:r>
    </w:p>
    <w:p w14:paraId="407D08F2" w14:textId="186E8E48" w:rsidR="00E169F3" w:rsidRPr="00363CAF" w:rsidRDefault="00E169F3" w:rsidP="00363CAF">
      <w:pPr>
        <w:pStyle w:val="Standardtext"/>
        <w:ind w:left="720" w:firstLine="720"/>
      </w:pPr>
      <w:r w:rsidRPr="00363CAF">
        <w:t>Target 1.1 By 2028, EUR States and industry to decrease the accident rate</w:t>
      </w:r>
    </w:p>
    <w:p w14:paraId="44A144F9" w14:textId="6EF12D7D" w:rsidR="00E169F3" w:rsidRPr="00363CAF" w:rsidRDefault="00E169F3" w:rsidP="00363CAF">
      <w:pPr>
        <w:pStyle w:val="Standardtext"/>
        <w:ind w:left="720" w:firstLine="720"/>
      </w:pPr>
      <w:r w:rsidRPr="00363CAF">
        <w:t>Target 1.2 By 2028, EUR States and industry to decrease the rate of accidents for each regional high-risk category of occurrence (R-HRC)</w:t>
      </w:r>
    </w:p>
    <w:p w14:paraId="29439F5D" w14:textId="263B06B7" w:rsidR="00E169F3" w:rsidRPr="00363CAF" w:rsidRDefault="00E169F3" w:rsidP="00363CAF">
      <w:pPr>
        <w:pStyle w:val="Standardtext"/>
        <w:ind w:left="720" w:firstLine="720"/>
      </w:pPr>
      <w:r w:rsidRPr="00363CAF">
        <w:t xml:space="preserve">Target 1.3 By 2028, EUR States and industry to decrease the rate of accidents related to the additional categories of occurrences </w:t>
      </w:r>
      <w:r w:rsidR="00C103E9">
        <w:t>(R-ORC)</w:t>
      </w:r>
    </w:p>
    <w:p w14:paraId="5CC41AC0" w14:textId="77777777" w:rsidR="00E169F3" w:rsidRPr="00363CAF" w:rsidRDefault="00E169F3">
      <w:pPr>
        <w:pStyle w:val="Standardtext"/>
        <w:numPr>
          <w:ilvl w:val="0"/>
          <w:numId w:val="43"/>
        </w:numPr>
      </w:pPr>
      <w:r w:rsidRPr="00363CAF">
        <w:t>Goal 2: Strengthen States’ safety oversight capabilities</w:t>
      </w:r>
    </w:p>
    <w:p w14:paraId="6A431D93" w14:textId="07000A34" w:rsidR="00E169F3" w:rsidRPr="00363CAF" w:rsidRDefault="00E169F3" w:rsidP="00363CAF">
      <w:pPr>
        <w:pStyle w:val="Standardtext"/>
        <w:ind w:left="720" w:firstLine="720"/>
      </w:pPr>
      <w:r w:rsidRPr="00363CAF">
        <w:t>Target 2.1 By 2028, all EUR States to commit to national aviation safety plans that allocate to each safety oversight authority sufficient financial resources to meet national and international obligations, with at least 70% of States having sufficient financial resources</w:t>
      </w:r>
    </w:p>
    <w:p w14:paraId="2BD28AD6" w14:textId="279423D1" w:rsidR="00E169F3" w:rsidRPr="00363CAF" w:rsidRDefault="00E169F3" w:rsidP="00363CAF">
      <w:pPr>
        <w:pStyle w:val="Standardtext"/>
        <w:ind w:left="720" w:firstLine="720"/>
      </w:pPr>
      <w:r w:rsidRPr="00363CAF">
        <w:t xml:space="preserve">Target 2.2 By 2028, all EUR States to improve their effective implementation (EI) score for qualified technical personnel (CE-4) for aircraft accident and incident investigation (AIG) and for aerodromes and ground aids (AGA), respectively, with a further commitment that no State has a score of less than the baseline global average </w:t>
      </w:r>
    </w:p>
    <w:p w14:paraId="472505F0" w14:textId="792EC1DE" w:rsidR="00E169F3" w:rsidRPr="00363CAF" w:rsidRDefault="00E169F3" w:rsidP="00363CAF">
      <w:pPr>
        <w:pStyle w:val="Standardtext"/>
        <w:ind w:left="720" w:firstLine="720"/>
      </w:pPr>
      <w:r w:rsidRPr="00363CAF">
        <w:t>Target 2.3 By 2028, all EUR States to improve their EI score for the resolution of safety issues (CE-8) in AGA with a further commitment that no State has a score of less than the baseline global average</w:t>
      </w:r>
    </w:p>
    <w:p w14:paraId="7261ABFD" w14:textId="77777777" w:rsidR="00E169F3" w:rsidRPr="00363CAF" w:rsidRDefault="00E169F3">
      <w:pPr>
        <w:pStyle w:val="Standardtext"/>
        <w:numPr>
          <w:ilvl w:val="0"/>
          <w:numId w:val="43"/>
        </w:numPr>
      </w:pPr>
      <w:r w:rsidRPr="00363CAF">
        <w:t>Goal 3: Establish and manage State safety programmes (SSP)</w:t>
      </w:r>
    </w:p>
    <w:p w14:paraId="28100704" w14:textId="003769B4" w:rsidR="00E169F3" w:rsidRPr="00363CAF" w:rsidRDefault="00E169F3" w:rsidP="00363CAF">
      <w:pPr>
        <w:pStyle w:val="Standardtext"/>
        <w:ind w:left="720" w:firstLine="720"/>
      </w:pPr>
      <w:r w:rsidRPr="00363CAF">
        <w:t>Target 3.1 By 2026, all EUR States to assess the level of implementation of their SSP</w:t>
      </w:r>
    </w:p>
    <w:p w14:paraId="7CEB2C51" w14:textId="77777777" w:rsidR="00E169F3" w:rsidRPr="00363CAF" w:rsidRDefault="00E169F3">
      <w:pPr>
        <w:pStyle w:val="Standardtext"/>
        <w:numPr>
          <w:ilvl w:val="0"/>
          <w:numId w:val="43"/>
        </w:numPr>
      </w:pPr>
      <w:r w:rsidRPr="00363CAF">
        <w:t>Goal 4: Strengthen collaboration at the regional and national levels to address safety issues</w:t>
      </w:r>
    </w:p>
    <w:p w14:paraId="651016B6" w14:textId="43A73F41" w:rsidR="00E169F3" w:rsidRPr="00363CAF" w:rsidRDefault="00E169F3" w:rsidP="00363CAF">
      <w:pPr>
        <w:pStyle w:val="Standardtext"/>
        <w:ind w:left="720" w:firstLine="720"/>
      </w:pPr>
      <w:r w:rsidRPr="00363CAF">
        <w:t>Target 4.1 By 2026, all EUR States to report if they require assistance to address safety issues</w:t>
      </w:r>
    </w:p>
    <w:p w14:paraId="533C12EA" w14:textId="15188E1F" w:rsidR="00E169F3" w:rsidRPr="00363CAF" w:rsidRDefault="00E169F3" w:rsidP="00363CAF">
      <w:pPr>
        <w:pStyle w:val="Standardtext"/>
        <w:ind w:left="720" w:firstLine="720"/>
      </w:pPr>
      <w:r w:rsidRPr="00363CAF">
        <w:t xml:space="preserve">Target 4.2 By 2028, EUR to facilitate the required assistance, to </w:t>
      </w:r>
      <w:r w:rsidR="00E34C3B">
        <w:t xml:space="preserve">the </w:t>
      </w:r>
      <w:r w:rsidRPr="00363CAF">
        <w:t>identified States, to address safety issues</w:t>
      </w:r>
    </w:p>
    <w:p w14:paraId="30A5F462" w14:textId="2F8D5AB3" w:rsidR="00E169F3" w:rsidRDefault="00E169F3" w:rsidP="00363CAF">
      <w:pPr>
        <w:pStyle w:val="Standardtext"/>
        <w:ind w:left="720" w:firstLine="720"/>
      </w:pPr>
      <w:r w:rsidRPr="00363CAF">
        <w:t>Target 4.3 By 2027, EUR to implement a mechanism to make use of the information on operational safety risks and emerging issues for the purpose of aviation safety planning</w:t>
      </w:r>
    </w:p>
    <w:p w14:paraId="5093FA7C" w14:textId="541D3FB8" w:rsidR="00103340" w:rsidRPr="00363CAF" w:rsidRDefault="00103340" w:rsidP="00103340">
      <w:pPr>
        <w:pStyle w:val="Standardtext"/>
        <w:ind w:left="720" w:firstLine="720"/>
      </w:pPr>
      <w:r w:rsidRPr="00363CAF">
        <w:t>Target 4.</w:t>
      </w:r>
      <w:r>
        <w:t>4</w:t>
      </w:r>
      <w:r w:rsidRPr="00363CAF">
        <w:t xml:space="preserve"> </w:t>
      </w:r>
      <w:r w:rsidRPr="00103340">
        <w:t>By 2028, EUR to increase at or above 70% the percentage of EUR State’s participating in ICAO EUR regional safety groups (in person or remotely)</w:t>
      </w:r>
    </w:p>
    <w:p w14:paraId="51877CB0" w14:textId="262ADFC4" w:rsidR="00E169F3" w:rsidRPr="00363CAF" w:rsidRDefault="00E169F3">
      <w:pPr>
        <w:pStyle w:val="Standardtext"/>
        <w:numPr>
          <w:ilvl w:val="0"/>
          <w:numId w:val="43"/>
        </w:numPr>
      </w:pPr>
      <w:r w:rsidRPr="00363CAF">
        <w:t>Goal 5</w:t>
      </w:r>
      <w:r w:rsidR="00E34C3B" w:rsidRPr="00363CAF">
        <w:t>: Strengthen</w:t>
      </w:r>
      <w:r w:rsidRPr="00363CAF">
        <w:t xml:space="preserve"> aviation safety planning</w:t>
      </w:r>
    </w:p>
    <w:p w14:paraId="58A196E7" w14:textId="4BB5F06F" w:rsidR="00E169F3" w:rsidRPr="00363CAF" w:rsidRDefault="00E169F3" w:rsidP="00363CAF">
      <w:pPr>
        <w:pStyle w:val="Standardtext"/>
        <w:ind w:left="720" w:firstLine="720"/>
      </w:pPr>
      <w:r w:rsidRPr="00363CAF">
        <w:lastRenderedPageBreak/>
        <w:t>Target 5.</w:t>
      </w:r>
      <w:r w:rsidR="00103340">
        <w:t>1</w:t>
      </w:r>
      <w:r w:rsidRPr="00363CAF">
        <w:t xml:space="preserve"> By 202</w:t>
      </w:r>
      <w:r w:rsidR="00103340">
        <w:t>7</w:t>
      </w:r>
      <w:r w:rsidRPr="00363CAF">
        <w:t>, all EUR States to publish an updated national aviation safety plan (NASP), taking into consideration the 2026-2028 edition of the GASP and EUR RASP</w:t>
      </w:r>
    </w:p>
    <w:p w14:paraId="57215D72" w14:textId="77777777" w:rsidR="00E169F3" w:rsidRPr="00363CAF" w:rsidRDefault="00E169F3">
      <w:pPr>
        <w:pStyle w:val="Standardtext"/>
        <w:numPr>
          <w:ilvl w:val="0"/>
          <w:numId w:val="43"/>
        </w:numPr>
      </w:pPr>
      <w:r w:rsidRPr="00363CAF">
        <w:t xml:space="preserve">Goal 6: Expand the use of industry safety assessment and safety data sharing programmes </w:t>
      </w:r>
    </w:p>
    <w:p w14:paraId="1175C44F" w14:textId="2F0F791C" w:rsidR="001B1802" w:rsidRPr="00363CAF" w:rsidRDefault="00E169F3" w:rsidP="00363CAF">
      <w:pPr>
        <w:pStyle w:val="Standardtext"/>
        <w:ind w:left="720" w:firstLine="720"/>
      </w:pPr>
      <w:r w:rsidRPr="00363CAF">
        <w:t xml:space="preserve">Target 6.1 By 2028, industry from EUR States </w:t>
      </w:r>
      <w:proofErr w:type="gramStart"/>
      <w:r w:rsidRPr="00363CAF">
        <w:t>to maintain</w:t>
      </w:r>
      <w:proofErr w:type="gramEnd"/>
      <w:r w:rsidRPr="00363CAF">
        <w:t xml:space="preserve"> an increasing trend in its use of industry safety assessment and safety data sharing programmes.</w:t>
      </w:r>
    </w:p>
    <w:p w14:paraId="6DB982FA" w14:textId="77777777" w:rsidR="0007440C" w:rsidRPr="00631EF6" w:rsidRDefault="0007440C" w:rsidP="00FC3CD0">
      <w:pPr>
        <w:pStyle w:val="BodyText1"/>
        <w:spacing w:before="120" w:after="120"/>
      </w:pPr>
    </w:p>
    <w:p w14:paraId="11EC7BE8" w14:textId="77777777" w:rsidR="00F12F9D" w:rsidRPr="00631EF6" w:rsidRDefault="00F12F9D">
      <w:pPr>
        <w:sectPr w:rsidR="00F12F9D" w:rsidRPr="00631EF6" w:rsidSect="00F12F9D">
          <w:headerReference w:type="default" r:id="rId19"/>
          <w:headerReference w:type="first" r:id="rId20"/>
          <w:pgSz w:w="11907" w:h="16839" w:code="9"/>
          <w:pgMar w:top="1701" w:right="927" w:bottom="1134" w:left="993" w:header="624" w:footer="397" w:gutter="0"/>
          <w:cols w:space="708"/>
          <w:docGrid w:linePitch="360"/>
        </w:sectPr>
      </w:pPr>
    </w:p>
    <w:p w14:paraId="59E465FC" w14:textId="77777777" w:rsidR="00031D6D" w:rsidRDefault="00031D6D" w:rsidP="0082694A">
      <w:pPr>
        <w:pStyle w:val="Heading1"/>
      </w:pPr>
      <w:bookmarkStart w:id="83" w:name="_Toc213137994"/>
      <w:bookmarkStart w:id="84" w:name="_Toc32504593"/>
      <w:r>
        <w:lastRenderedPageBreak/>
        <w:t>Purpose of the EUR Regional Aviation Safety Plan</w:t>
      </w:r>
      <w:bookmarkEnd w:id="83"/>
    </w:p>
    <w:p w14:paraId="6812BC04" w14:textId="277FD503" w:rsidR="004400CC" w:rsidRDefault="004400CC" w:rsidP="004400CC">
      <w:pPr>
        <w:pStyle w:val="Standardtext"/>
      </w:pPr>
      <w:r>
        <w:t>The EUR RASP is the master planning document containing the strategic direction of ICAO EUR Region for the management of aviation safety for a period of 3 years. This plan lists regional safety issues, sets regional safety goals and targets, and presents a series of safety actions to achieve those goals.</w:t>
      </w:r>
    </w:p>
    <w:p w14:paraId="3E963914" w14:textId="7BF5BBC1" w:rsidR="004400CC" w:rsidRDefault="004400CC" w:rsidP="004400CC">
      <w:pPr>
        <w:pStyle w:val="Standardtext"/>
      </w:pPr>
      <w:r>
        <w:t xml:space="preserve">Other plans were considered in the development of the </w:t>
      </w:r>
      <w:r w:rsidR="00496350">
        <w:t xml:space="preserve">EUR </w:t>
      </w:r>
      <w:r>
        <w:t xml:space="preserve">RASP, including the following: </w:t>
      </w:r>
    </w:p>
    <w:p w14:paraId="423FFBDC" w14:textId="716DD2A6" w:rsidR="004400CC" w:rsidRDefault="004400CC">
      <w:pPr>
        <w:pStyle w:val="IcaoEurNatSubParaabc"/>
        <w:numPr>
          <w:ilvl w:val="0"/>
          <w:numId w:val="41"/>
        </w:numPr>
      </w:pPr>
      <w:r>
        <w:t xml:space="preserve">GASP 2026-2028 (ICAO Doc 10004): </w:t>
      </w:r>
      <w:hyperlink r:id="rId21" w:history="1">
        <w:r w:rsidRPr="000F0116">
          <w:rPr>
            <w:rStyle w:val="Hyperlink"/>
          </w:rPr>
          <w:t>https://www.icao.int/GASP</w:t>
        </w:r>
      </w:hyperlink>
      <w:r>
        <w:t xml:space="preserve"> </w:t>
      </w:r>
    </w:p>
    <w:p w14:paraId="5CC4EC5B" w14:textId="5A6BEFA5" w:rsidR="004400CC" w:rsidRPr="001E7329" w:rsidRDefault="004400CC">
      <w:pPr>
        <w:pStyle w:val="IcaoEurNatSubParaabc"/>
        <w:numPr>
          <w:ilvl w:val="0"/>
          <w:numId w:val="41"/>
        </w:numPr>
        <w:rPr>
          <w:lang w:val="es-MX"/>
        </w:rPr>
      </w:pPr>
      <w:r w:rsidRPr="001E7329">
        <w:rPr>
          <w:lang w:val="es-MX"/>
        </w:rPr>
        <w:t xml:space="preserve">EPAS 2026: </w:t>
      </w:r>
      <w:hyperlink r:id="rId22" w:history="1">
        <w:r w:rsidRPr="001E7329">
          <w:rPr>
            <w:rStyle w:val="Hyperlink"/>
            <w:lang w:val="es-MX"/>
          </w:rPr>
          <w:t>https://www.easa.europa.eu/en/domains/safety-management/european-plan-aviation-safety</w:t>
        </w:r>
      </w:hyperlink>
      <w:r w:rsidRPr="001E7329">
        <w:rPr>
          <w:lang w:val="es-MX"/>
        </w:rPr>
        <w:t xml:space="preserve"> </w:t>
      </w:r>
    </w:p>
    <w:p w14:paraId="53093275" w14:textId="31399BA3" w:rsidR="007137ED" w:rsidRDefault="004400CC" w:rsidP="004400CC">
      <w:pPr>
        <w:pStyle w:val="Standardtext"/>
        <w:sectPr w:rsidR="007137ED" w:rsidSect="00E521FE">
          <w:headerReference w:type="default" r:id="rId23"/>
          <w:pgSz w:w="11906" w:h="16838" w:code="9"/>
          <w:pgMar w:top="1134" w:right="1134" w:bottom="902" w:left="1134" w:header="709" w:footer="493" w:gutter="0"/>
          <w:cols w:space="708"/>
          <w:docGrid w:linePitch="360"/>
        </w:sectPr>
      </w:pPr>
      <w:r>
        <w:t xml:space="preserve">The </w:t>
      </w:r>
      <w:r w:rsidR="000D1929">
        <w:t xml:space="preserve">EUR </w:t>
      </w:r>
      <w:r>
        <w:t xml:space="preserve">RASP has been developed using the goals and targets, the global high-risk categories of occurrences (G-HRCs), and the global organizational challenges from the GASP. These are highlighted in the text, where applicable. The </w:t>
      </w:r>
      <w:r w:rsidR="000D1929">
        <w:t xml:space="preserve">safety </w:t>
      </w:r>
      <w:proofErr w:type="gramStart"/>
      <w:r w:rsidR="000D1929">
        <w:t>actions</w:t>
      </w:r>
      <w:proofErr w:type="gramEnd"/>
      <w:r>
        <w:t xml:space="preserve"> listed in the </w:t>
      </w:r>
      <w:r w:rsidR="00837133">
        <w:t xml:space="preserve">EUR </w:t>
      </w:r>
      <w:r>
        <w:t xml:space="preserve">RASP form the action plan that supports the regional safety strategy. Ultimately, they support the improvement of safety at the individual State level, for States in the region, and contribute to the enhancement of safety at the wider international level. The </w:t>
      </w:r>
      <w:r w:rsidR="006B6742">
        <w:t xml:space="preserve">EUR </w:t>
      </w:r>
      <w:r>
        <w:t xml:space="preserve">RASP includes several actions to address specific safety issues and </w:t>
      </w:r>
      <w:proofErr w:type="gramStart"/>
      <w:r w:rsidR="006E4BD6">
        <w:t>recommends</w:t>
      </w:r>
      <w:proofErr w:type="gramEnd"/>
      <w:r w:rsidR="006E4BD6">
        <w:t xml:space="preserve"> </w:t>
      </w:r>
      <w:r w:rsidR="000D1929">
        <w:t xml:space="preserve">for </w:t>
      </w:r>
      <w:r>
        <w:t xml:space="preserve">individual States in the region. It is expected that States in the region adopt these </w:t>
      </w:r>
      <w:r w:rsidR="000D1929">
        <w:t xml:space="preserve">actions </w:t>
      </w:r>
      <w:r>
        <w:t>and include them in their respective national aviation safety plans.</w:t>
      </w:r>
    </w:p>
    <w:p w14:paraId="7395FC66" w14:textId="3A151634" w:rsidR="006B3D11" w:rsidRDefault="00962550" w:rsidP="0082694A">
      <w:pPr>
        <w:pStyle w:val="Heading1"/>
      </w:pPr>
      <w:bookmarkStart w:id="85" w:name="_Ref205543090"/>
      <w:bookmarkStart w:id="86" w:name="_Toc213137995"/>
      <w:r>
        <w:lastRenderedPageBreak/>
        <w:t xml:space="preserve">EUR </w:t>
      </w:r>
      <w:r w:rsidR="006B3D11" w:rsidRPr="00746C59">
        <w:t>R</w:t>
      </w:r>
      <w:r w:rsidR="006B3D11">
        <w:t>egional operational safety risks</w:t>
      </w:r>
      <w:bookmarkEnd w:id="85"/>
      <w:bookmarkEnd w:id="86"/>
    </w:p>
    <w:p w14:paraId="1A85954C" w14:textId="6E33D8A7" w:rsidR="00FC6C48" w:rsidRPr="007137ED" w:rsidRDefault="00FC6C48" w:rsidP="007137ED">
      <w:pPr>
        <w:pStyle w:val="Standardtext"/>
      </w:pPr>
      <w:r w:rsidRPr="007137ED">
        <w:t xml:space="preserve">The EUR RASP includes safety </w:t>
      </w:r>
      <w:r w:rsidR="006E4BD6">
        <w:t>issues</w:t>
      </w:r>
      <w:r w:rsidRPr="007137ED">
        <w:t xml:space="preserve"> that address national operational safety risks, derived from lessons learned from operational occurrences and from a data-driven approach. These </w:t>
      </w:r>
      <w:r w:rsidR="006E4BD6">
        <w:t>safety issues</w:t>
      </w:r>
      <w:r w:rsidR="006E4BD6" w:rsidRPr="007137ED">
        <w:t xml:space="preserve"> </w:t>
      </w:r>
      <w:r w:rsidRPr="007137ED">
        <w:t>may include actions such as:</w:t>
      </w:r>
    </w:p>
    <w:p w14:paraId="11BD4C05" w14:textId="77777777" w:rsidR="00FC6C48" w:rsidRPr="006E4BD6" w:rsidRDefault="00FC6C48">
      <w:pPr>
        <w:pStyle w:val="IcaoEurNatSubParaabc"/>
        <w:numPr>
          <w:ilvl w:val="0"/>
          <w:numId w:val="39"/>
        </w:numPr>
        <w:rPr>
          <w:rFonts w:ascii="Calibri" w:eastAsia="Times New Roman" w:hAnsi="Calibri" w:cs="Calibri"/>
          <w:color w:val="000000"/>
          <w:lang w:val="en-US" w:eastAsia="en-GB"/>
        </w:rPr>
      </w:pPr>
      <w:r w:rsidRPr="006E4BD6">
        <w:rPr>
          <w:rFonts w:ascii="Calibri" w:eastAsia="Times New Roman" w:hAnsi="Calibri" w:cs="Calibri"/>
          <w:color w:val="000000"/>
          <w:lang w:val="en-US" w:eastAsia="en-GB"/>
        </w:rPr>
        <w:t>rule-</w:t>
      </w:r>
      <w:proofErr w:type="gramStart"/>
      <w:r w:rsidRPr="006E4BD6">
        <w:rPr>
          <w:rFonts w:ascii="Calibri" w:eastAsia="Times New Roman" w:hAnsi="Calibri" w:cs="Calibri"/>
          <w:color w:val="000000"/>
          <w:lang w:val="en-US" w:eastAsia="en-GB"/>
        </w:rPr>
        <w:t>making;</w:t>
      </w:r>
      <w:proofErr w:type="gramEnd"/>
    </w:p>
    <w:p w14:paraId="261A1344" w14:textId="77777777" w:rsidR="00FC6C48" w:rsidRPr="006E4BD6" w:rsidRDefault="00FC6C48">
      <w:pPr>
        <w:pStyle w:val="IcaoEurNatSubParaabc"/>
        <w:numPr>
          <w:ilvl w:val="0"/>
          <w:numId w:val="39"/>
        </w:numPr>
        <w:rPr>
          <w:rFonts w:ascii="Calibri" w:eastAsia="Times New Roman" w:hAnsi="Calibri" w:cs="Calibri"/>
          <w:color w:val="000000"/>
          <w:lang w:val="en-US" w:eastAsia="en-GB"/>
        </w:rPr>
      </w:pPr>
      <w:r w:rsidRPr="006E4BD6">
        <w:rPr>
          <w:rFonts w:ascii="Calibri" w:eastAsia="Times New Roman" w:hAnsi="Calibri" w:cs="Calibri"/>
          <w:color w:val="000000"/>
          <w:lang w:val="en-US" w:eastAsia="en-GB"/>
        </w:rPr>
        <w:t xml:space="preserve">policy </w:t>
      </w:r>
      <w:proofErr w:type="gramStart"/>
      <w:r w:rsidRPr="006E4BD6">
        <w:rPr>
          <w:rFonts w:ascii="Calibri" w:eastAsia="Times New Roman" w:hAnsi="Calibri" w:cs="Calibri"/>
          <w:color w:val="000000"/>
          <w:lang w:val="en-US" w:eastAsia="en-GB"/>
        </w:rPr>
        <w:t>development;</w:t>
      </w:r>
      <w:proofErr w:type="gramEnd"/>
    </w:p>
    <w:p w14:paraId="5161DB10" w14:textId="77777777" w:rsidR="00FC6C48" w:rsidRPr="006E4BD6" w:rsidRDefault="00FC6C48">
      <w:pPr>
        <w:pStyle w:val="IcaoEurNatSubParaabc"/>
        <w:numPr>
          <w:ilvl w:val="0"/>
          <w:numId w:val="39"/>
        </w:numPr>
        <w:rPr>
          <w:rFonts w:ascii="Calibri" w:eastAsia="Times New Roman" w:hAnsi="Calibri" w:cs="Calibri"/>
          <w:color w:val="000000"/>
          <w:lang w:val="en-US" w:eastAsia="en-GB"/>
        </w:rPr>
      </w:pPr>
      <w:r w:rsidRPr="006E4BD6">
        <w:rPr>
          <w:rFonts w:ascii="Calibri" w:eastAsia="Times New Roman" w:hAnsi="Calibri" w:cs="Calibri"/>
          <w:color w:val="000000"/>
          <w:lang w:val="en-US" w:eastAsia="en-GB"/>
        </w:rPr>
        <w:t xml:space="preserve">targeted safety oversight </w:t>
      </w:r>
      <w:proofErr w:type="gramStart"/>
      <w:r w:rsidRPr="006E4BD6">
        <w:rPr>
          <w:rFonts w:ascii="Calibri" w:eastAsia="Times New Roman" w:hAnsi="Calibri" w:cs="Calibri"/>
          <w:color w:val="000000"/>
          <w:lang w:val="en-US" w:eastAsia="en-GB"/>
        </w:rPr>
        <w:t>activities;</w:t>
      </w:r>
      <w:proofErr w:type="gramEnd"/>
    </w:p>
    <w:p w14:paraId="321DD9F8" w14:textId="77777777" w:rsidR="00FC6C48" w:rsidRPr="006E4BD6" w:rsidRDefault="00FC6C48">
      <w:pPr>
        <w:pStyle w:val="IcaoEurNatSubParaabc"/>
        <w:numPr>
          <w:ilvl w:val="0"/>
          <w:numId w:val="39"/>
        </w:numPr>
        <w:rPr>
          <w:rFonts w:ascii="Calibri" w:eastAsia="Times New Roman" w:hAnsi="Calibri" w:cs="Calibri"/>
          <w:color w:val="000000"/>
          <w:lang w:val="en-US" w:eastAsia="en-GB"/>
        </w:rPr>
      </w:pPr>
      <w:r w:rsidRPr="006E4BD6">
        <w:rPr>
          <w:rFonts w:ascii="Calibri" w:eastAsia="Times New Roman" w:hAnsi="Calibri" w:cs="Calibri"/>
          <w:color w:val="000000"/>
          <w:lang w:val="en-US" w:eastAsia="en-GB"/>
        </w:rPr>
        <w:t>safety data analysis; and</w:t>
      </w:r>
    </w:p>
    <w:p w14:paraId="3E3FBAD0" w14:textId="77777777" w:rsidR="00FC6C48" w:rsidRPr="006E4BD6" w:rsidRDefault="00FC6C48">
      <w:pPr>
        <w:pStyle w:val="IcaoEurNatSubParaabc"/>
        <w:numPr>
          <w:ilvl w:val="0"/>
          <w:numId w:val="39"/>
        </w:numPr>
        <w:rPr>
          <w:rFonts w:ascii="Calibri" w:eastAsia="Times New Roman" w:hAnsi="Calibri" w:cs="Calibri"/>
          <w:color w:val="000000"/>
          <w:lang w:val="en-US" w:eastAsia="en-GB"/>
        </w:rPr>
      </w:pPr>
      <w:r w:rsidRPr="006E4BD6">
        <w:rPr>
          <w:rFonts w:ascii="Calibri" w:eastAsia="Times New Roman" w:hAnsi="Calibri" w:cs="Calibri"/>
          <w:color w:val="000000"/>
          <w:lang w:val="en-US" w:eastAsia="en-GB"/>
        </w:rPr>
        <w:t>safety promotion.</w:t>
      </w:r>
    </w:p>
    <w:p w14:paraId="2DEE8E7D" w14:textId="77777777" w:rsidR="00FC6C48" w:rsidRDefault="00FC6C48" w:rsidP="00FC6C48">
      <w:pPr>
        <w:pStyle w:val="Standardtext"/>
      </w:pPr>
      <w:r w:rsidRPr="000F2A9D">
        <w:t xml:space="preserve">The ICAO European and North Atlantic Office publishes an Annual Safety Report, available on its website: </w:t>
      </w:r>
      <w:hyperlink r:id="rId24" w:anchor="block-icao-page-title" w:history="1">
        <w:r w:rsidRPr="000F2A9D">
          <w:rPr>
            <w:rStyle w:val="Hyperlink"/>
            <w:lang w:val="en-GB"/>
          </w:rPr>
          <w:t>https://www.icao.int/EURNAT/EUR-NAT-DOCS?fid=5939#block-icao-page-title</w:t>
        </w:r>
      </w:hyperlink>
      <w:r w:rsidRPr="000F2A9D">
        <w:t>.</w:t>
      </w:r>
    </w:p>
    <w:p w14:paraId="33DD0B7B" w14:textId="77777777" w:rsidR="00FC6C48" w:rsidRDefault="00FC6C48" w:rsidP="00FC6C48">
      <w:pPr>
        <w:pStyle w:val="Standardtext"/>
      </w:pPr>
      <w:r w:rsidRPr="000F2A9D">
        <w:t>The following regional high-risk categories of occurrences (R-HRCs) were considered of the utmost priority because of the number of fatalities and risk of fatalities associated with such events. They were identified based on analyses from mandatory and voluntary reporting systems. The analysis was conducted by a focused group for analyzing regional safety data under the responsibility of the RESG. The following list contains the result of the performed analysis. These R-HRCs are in line with those listed in the</w:t>
      </w:r>
      <w:r>
        <w:t xml:space="preserve"> current edition of the GASP</w:t>
      </w:r>
      <w:r>
        <w:rPr>
          <w:rStyle w:val="FootnoteReference"/>
          <w:lang w:val="en-GB"/>
        </w:rPr>
        <w:footnoteReference w:id="12"/>
      </w:r>
      <w:r>
        <w:t>:</w:t>
      </w:r>
    </w:p>
    <w:p w14:paraId="420E3EC2" w14:textId="3500C402" w:rsidR="00FC6C48" w:rsidRPr="006E4BD6" w:rsidRDefault="006E4BD6">
      <w:pPr>
        <w:pStyle w:val="IcaoEurNatSubParaabc"/>
        <w:numPr>
          <w:ilvl w:val="2"/>
          <w:numId w:val="36"/>
        </w:numPr>
        <w:ind w:left="1656"/>
        <w:rPr>
          <w:rFonts w:ascii="Calibri" w:eastAsia="Times New Roman" w:hAnsi="Calibri" w:cs="Calibri"/>
          <w:color w:val="000000"/>
          <w:lang w:val="en-US" w:eastAsia="en-GB"/>
        </w:rPr>
      </w:pPr>
      <w:r>
        <w:rPr>
          <w:rFonts w:ascii="Calibri" w:eastAsia="Times New Roman" w:hAnsi="Calibri" w:cs="Calibri"/>
          <w:color w:val="000000"/>
          <w:lang w:val="en-US" w:eastAsia="en-GB"/>
        </w:rPr>
        <w:tab/>
      </w:r>
      <w:r w:rsidR="00FC6C48" w:rsidRPr="006E4BD6">
        <w:rPr>
          <w:rFonts w:ascii="Calibri" w:eastAsia="Times New Roman" w:hAnsi="Calibri" w:cs="Calibri"/>
          <w:color w:val="000000"/>
          <w:lang w:val="en-US" w:eastAsia="en-GB"/>
        </w:rPr>
        <w:t>Controlled Flight into Terrain (CFIT</w:t>
      </w:r>
      <w:proofErr w:type="gramStart"/>
      <w:r w:rsidR="00FC6C48" w:rsidRPr="006E4BD6">
        <w:rPr>
          <w:rFonts w:ascii="Calibri" w:eastAsia="Times New Roman" w:hAnsi="Calibri" w:cs="Calibri"/>
          <w:color w:val="000000"/>
          <w:lang w:val="en-US" w:eastAsia="en-GB"/>
        </w:rPr>
        <w:t>);</w:t>
      </w:r>
      <w:proofErr w:type="gramEnd"/>
    </w:p>
    <w:p w14:paraId="378A607C" w14:textId="1003585A" w:rsidR="00FC6C48" w:rsidRPr="006E4BD6" w:rsidRDefault="006E4BD6" w:rsidP="00E308D4">
      <w:pPr>
        <w:pStyle w:val="IcaoEurNatSubParaabc"/>
        <w:numPr>
          <w:ilvl w:val="2"/>
          <w:numId w:val="36"/>
        </w:numPr>
        <w:rPr>
          <w:rFonts w:ascii="Calibri" w:eastAsia="Times New Roman" w:hAnsi="Calibri" w:cs="Calibri"/>
          <w:color w:val="000000"/>
          <w:lang w:val="en-US" w:eastAsia="en-GB"/>
        </w:rPr>
      </w:pPr>
      <w:r>
        <w:rPr>
          <w:rFonts w:ascii="Calibri" w:eastAsia="Times New Roman" w:hAnsi="Calibri" w:cs="Calibri"/>
          <w:color w:val="000000"/>
          <w:lang w:val="en-US" w:eastAsia="en-GB"/>
        </w:rPr>
        <w:tab/>
      </w:r>
      <w:r w:rsidR="00FC6C48" w:rsidRPr="006E4BD6">
        <w:rPr>
          <w:rFonts w:ascii="Calibri" w:eastAsia="Times New Roman" w:hAnsi="Calibri" w:cs="Calibri"/>
          <w:color w:val="000000"/>
          <w:lang w:val="en-US" w:eastAsia="en-GB"/>
        </w:rPr>
        <w:t>Loss of Control in-flight (LOC-I); and</w:t>
      </w:r>
    </w:p>
    <w:p w14:paraId="52A43DE0" w14:textId="3AB5CA86" w:rsidR="00FC6C48" w:rsidRPr="006E4BD6" w:rsidRDefault="006E4BD6" w:rsidP="00E308D4">
      <w:pPr>
        <w:pStyle w:val="IcaoEurNatSubParaabc"/>
        <w:numPr>
          <w:ilvl w:val="2"/>
          <w:numId w:val="36"/>
        </w:numPr>
        <w:ind w:left="1656"/>
        <w:rPr>
          <w:rFonts w:ascii="Calibri" w:eastAsia="Times New Roman" w:hAnsi="Calibri" w:cs="Calibri"/>
          <w:color w:val="000000"/>
          <w:lang w:val="en-US" w:eastAsia="en-GB"/>
        </w:rPr>
      </w:pPr>
      <w:r>
        <w:rPr>
          <w:rFonts w:ascii="Calibri" w:eastAsia="Times New Roman" w:hAnsi="Calibri" w:cs="Calibri"/>
          <w:color w:val="000000"/>
          <w:lang w:val="en-US" w:eastAsia="en-GB"/>
        </w:rPr>
        <w:tab/>
      </w:r>
      <w:r w:rsidR="00FC6C48" w:rsidRPr="006E4BD6">
        <w:rPr>
          <w:rFonts w:ascii="Calibri" w:eastAsia="Times New Roman" w:hAnsi="Calibri" w:cs="Calibri"/>
          <w:color w:val="000000"/>
          <w:lang w:val="en-US" w:eastAsia="en-GB"/>
        </w:rPr>
        <w:t>Mid-air Collision (MAC).</w:t>
      </w:r>
    </w:p>
    <w:p w14:paraId="01E6A97F" w14:textId="62EFE5D2" w:rsidR="00FC6C48" w:rsidRDefault="00FC6C48" w:rsidP="00FC6C48">
      <w:pPr>
        <w:pStyle w:val="Standardtext"/>
      </w:pPr>
      <w:r w:rsidRPr="000F2A9D">
        <w:t xml:space="preserve">The data being used for the analysis performed indicated that current mitigations had reduced the likelihood of Runway Excursions (RE) and Runway Incursions (RI) in EUR Region. However, it was agreed that the potential severity </w:t>
      </w:r>
      <w:proofErr w:type="gramStart"/>
      <w:r w:rsidRPr="000F2A9D">
        <w:t>has to</w:t>
      </w:r>
      <w:proofErr w:type="gramEnd"/>
      <w:r w:rsidRPr="000F2A9D">
        <w:t xml:space="preserve"> be </w:t>
      </w:r>
      <w:proofErr w:type="gramStart"/>
      <w:r w:rsidRPr="000F2A9D">
        <w:t>taken into account</w:t>
      </w:r>
      <w:proofErr w:type="gramEnd"/>
      <w:r w:rsidRPr="000F2A9D">
        <w:t xml:space="preserve">. Therefore, it was agreed to </w:t>
      </w:r>
      <w:r w:rsidR="00E308D4">
        <w:t xml:space="preserve">add </w:t>
      </w:r>
      <w:r w:rsidRPr="000F2A9D">
        <w:t xml:space="preserve">the </w:t>
      </w:r>
      <w:r w:rsidR="00E308D4">
        <w:t>following two</w:t>
      </w:r>
      <w:r w:rsidRPr="000F2A9D">
        <w:t xml:space="preserve"> additional categories, also reflected in the GASP, as R-HRCs, mainly for monitoring purposes.</w:t>
      </w:r>
    </w:p>
    <w:p w14:paraId="18BA752F" w14:textId="538742FB" w:rsidR="00E647D0" w:rsidRPr="00E308D4" w:rsidRDefault="00E308D4">
      <w:pPr>
        <w:pStyle w:val="IcaoEurNatSubParaabc"/>
        <w:numPr>
          <w:ilvl w:val="2"/>
          <w:numId w:val="36"/>
        </w:numPr>
        <w:ind w:left="1656"/>
        <w:rPr>
          <w:rFonts w:ascii="Calibri" w:eastAsia="Times New Roman" w:hAnsi="Calibri" w:cs="Calibri"/>
          <w:color w:val="000000"/>
          <w:lang w:val="en-US" w:eastAsia="en-GB"/>
        </w:rPr>
      </w:pPr>
      <w:r>
        <w:rPr>
          <w:rFonts w:ascii="Calibri" w:eastAsia="Times New Roman" w:hAnsi="Calibri" w:cs="Calibri"/>
          <w:color w:val="000000"/>
          <w:lang w:val="en-US" w:eastAsia="en-GB"/>
        </w:rPr>
        <w:tab/>
      </w:r>
      <w:r w:rsidR="00E647D0" w:rsidRPr="00E308D4">
        <w:rPr>
          <w:rFonts w:ascii="Calibri" w:eastAsia="Times New Roman" w:hAnsi="Calibri" w:cs="Calibri"/>
          <w:color w:val="000000"/>
          <w:lang w:val="en-US" w:eastAsia="en-GB"/>
        </w:rPr>
        <w:t xml:space="preserve">Runway Excursions (RE); and </w:t>
      </w:r>
    </w:p>
    <w:p w14:paraId="54609122" w14:textId="366AB475" w:rsidR="00E647D0" w:rsidRPr="00E308D4" w:rsidRDefault="00E308D4">
      <w:pPr>
        <w:pStyle w:val="IcaoEurNatSubParaabc"/>
        <w:numPr>
          <w:ilvl w:val="2"/>
          <w:numId w:val="36"/>
        </w:numPr>
        <w:ind w:left="1656"/>
        <w:rPr>
          <w:rFonts w:ascii="Calibri" w:eastAsia="Times New Roman" w:hAnsi="Calibri" w:cs="Calibri"/>
          <w:color w:val="000000"/>
          <w:lang w:val="en-US" w:eastAsia="en-GB"/>
        </w:rPr>
      </w:pPr>
      <w:r>
        <w:rPr>
          <w:rFonts w:ascii="Calibri" w:eastAsia="Times New Roman" w:hAnsi="Calibri" w:cs="Calibri"/>
          <w:color w:val="000000"/>
          <w:lang w:val="en-US" w:eastAsia="en-GB"/>
        </w:rPr>
        <w:tab/>
      </w:r>
      <w:r w:rsidR="00E647D0" w:rsidRPr="00E308D4">
        <w:rPr>
          <w:rFonts w:ascii="Calibri" w:eastAsia="Times New Roman" w:hAnsi="Calibri" w:cs="Calibri"/>
          <w:color w:val="000000"/>
          <w:lang w:val="en-US" w:eastAsia="en-GB"/>
        </w:rPr>
        <w:t>Runway Incursions (RI)</w:t>
      </w:r>
    </w:p>
    <w:p w14:paraId="1A2B6210" w14:textId="4A97924A" w:rsidR="00AF041E" w:rsidRDefault="00FC6C48" w:rsidP="00FC6C48">
      <w:pPr>
        <w:pStyle w:val="Standardtext"/>
      </w:pPr>
      <w:r w:rsidRPr="00D6031B">
        <w:t>In addition to the R-HRCs, which are in line with the G-HRCs and are listed above, the analysis performed identified the category of Abnormal Runway Contact (ARC). There was not enough reliable information to sustain the decision to include ARC as a R-HRC</w:t>
      </w:r>
      <w:proofErr w:type="gramStart"/>
      <w:r w:rsidRPr="00D6031B">
        <w:t>, in particular, because</w:t>
      </w:r>
      <w:proofErr w:type="gramEnd"/>
      <w:r w:rsidRPr="00D6031B">
        <w:t xml:space="preserve"> the consequences of such risks were, normally, significantly lower compared to the five other G-HRCs. Finally, it was supported to include Abnormal Runway Contact (ARC) as other regional risk category of occurrences for 2026-2028</w:t>
      </w:r>
      <w:r>
        <w:t xml:space="preserve">. </w:t>
      </w:r>
    </w:p>
    <w:p w14:paraId="0FB63101" w14:textId="26CF19BC" w:rsidR="00637595" w:rsidRPr="00E308D4" w:rsidRDefault="00E308D4">
      <w:pPr>
        <w:pStyle w:val="Standardtext"/>
        <w:numPr>
          <w:ilvl w:val="0"/>
          <w:numId w:val="38"/>
        </w:numPr>
        <w:ind w:left="1656"/>
      </w:pPr>
      <w:r>
        <w:tab/>
      </w:r>
      <w:r w:rsidR="00637595" w:rsidRPr="00E308D4">
        <w:t>Abnormal Runway Contact (ARC</w:t>
      </w:r>
      <w:r w:rsidR="00C344AE" w:rsidRPr="00E308D4">
        <w:t>)</w:t>
      </w:r>
    </w:p>
    <w:p w14:paraId="09012EED" w14:textId="2F84F157" w:rsidR="00FC6C48" w:rsidRDefault="00FC6C48" w:rsidP="00FC6C48">
      <w:pPr>
        <w:pStyle w:val="Standardtext"/>
      </w:pPr>
      <w:r w:rsidRPr="00D6031B">
        <w:t>The aviation occurrence categories from the CAST/ICAO Common Taxonomy Team (CICTT</w:t>
      </w:r>
      <w:proofErr w:type="gramStart"/>
      <w:r w:rsidRPr="00D6031B">
        <w:t>)[</w:t>
      </w:r>
      <w:proofErr w:type="gramEnd"/>
      <w:r>
        <w:rPr>
          <w:rStyle w:val="FootnoteReference"/>
          <w:lang w:val="en-GB"/>
        </w:rPr>
        <w:footnoteReference w:id="13"/>
      </w:r>
      <w:r w:rsidRPr="00525926">
        <w:t xml:space="preserve"> </w:t>
      </w:r>
      <w:r w:rsidRPr="00D6031B">
        <w:t>were used to assess risk categories in the process of determining national operational safety risks. The safety actions that address the regional operational safety risks listed above are detailed in Volume II of the EUR RASP</w:t>
      </w:r>
      <w:r>
        <w:t>.</w:t>
      </w:r>
    </w:p>
    <w:p w14:paraId="0D720003" w14:textId="0272F71E" w:rsidR="00FC6C48" w:rsidRPr="00525926" w:rsidRDefault="00FC6C48" w:rsidP="00FC6C48">
      <w:pPr>
        <w:pStyle w:val="Standardtext"/>
      </w:pPr>
      <w:r w:rsidRPr="00D6031B">
        <w:lastRenderedPageBreak/>
        <w:t xml:space="preserve">Due to several reasons, more detailed analysis </w:t>
      </w:r>
      <w:r w:rsidR="00E308D4">
        <w:t>has</w:t>
      </w:r>
      <w:r w:rsidR="00E308D4" w:rsidRPr="00D6031B">
        <w:t xml:space="preserve"> </w:t>
      </w:r>
      <w:r w:rsidRPr="00D6031B">
        <w:t xml:space="preserve">not been performed so far. As a result, the R-HRCs are not further divided </w:t>
      </w:r>
      <w:proofErr w:type="gramStart"/>
      <w:r w:rsidRPr="00D6031B">
        <w:t>in</w:t>
      </w:r>
      <w:proofErr w:type="gramEnd"/>
      <w:r w:rsidRPr="00D6031B">
        <w:t xml:space="preserve"> operational areas </w:t>
      </w:r>
      <w:proofErr w:type="gramStart"/>
      <w:r w:rsidRPr="00D6031B">
        <w:t>like,</w:t>
      </w:r>
      <w:proofErr w:type="gramEnd"/>
      <w:r w:rsidRPr="00D6031B">
        <w:t xml:space="preserve"> helicopter operation, aerodrome and ground handling, air navigation management, general aviation, </w:t>
      </w:r>
      <w:proofErr w:type="gramStart"/>
      <w:r w:rsidRPr="00D6031B">
        <w:t>etc</w:t>
      </w:r>
      <w:r w:rsidRPr="007137ED">
        <w:t>.</w:t>
      </w:r>
      <w:r w:rsidR="00E308D4">
        <w:t>.</w:t>
      </w:r>
      <w:proofErr w:type="gramEnd"/>
      <w:r w:rsidRPr="007137ED">
        <w:t xml:space="preserve"> However, </w:t>
      </w:r>
      <w:r w:rsidR="00E308D4">
        <w:t>in</w:t>
      </w:r>
      <w:r w:rsidR="00E308D4" w:rsidRPr="007137ED">
        <w:t xml:space="preserve"> </w:t>
      </w:r>
      <w:r w:rsidRPr="007137ED">
        <w:t>Volume II safety actions are grouped for the corresponding domains for the ease of navigation.</w:t>
      </w:r>
    </w:p>
    <w:p w14:paraId="5B17CC5E" w14:textId="77777777" w:rsidR="00637595" w:rsidRDefault="00637595" w:rsidP="0082694A">
      <w:pPr>
        <w:pStyle w:val="Heading1"/>
        <w:sectPr w:rsidR="00637595" w:rsidSect="00E521FE">
          <w:headerReference w:type="default" r:id="rId25"/>
          <w:pgSz w:w="11906" w:h="16838" w:code="9"/>
          <w:pgMar w:top="1134" w:right="1134" w:bottom="902" w:left="1134" w:header="709" w:footer="493" w:gutter="0"/>
          <w:cols w:space="708"/>
          <w:docGrid w:linePitch="360"/>
        </w:sectPr>
      </w:pPr>
    </w:p>
    <w:p w14:paraId="4453E154" w14:textId="77777777" w:rsidR="00981D37" w:rsidRDefault="00981D37" w:rsidP="0082694A">
      <w:pPr>
        <w:pStyle w:val="Heading1"/>
      </w:pPr>
      <w:bookmarkStart w:id="87" w:name="_Toc213137996"/>
      <w:r w:rsidRPr="00746C59">
        <w:lastRenderedPageBreak/>
        <w:t>O</w:t>
      </w:r>
      <w:r>
        <w:t>rganisational challenges</w:t>
      </w:r>
      <w:bookmarkEnd w:id="87"/>
    </w:p>
    <w:p w14:paraId="2C134C2E" w14:textId="732551E2" w:rsidR="00981D37" w:rsidRDefault="00981D37" w:rsidP="007137ED">
      <w:pPr>
        <w:pStyle w:val="Standardtext"/>
      </w:pPr>
      <w:r w:rsidRPr="00981D37">
        <w:t xml:space="preserve">In addition to the regional operational safety risks listed in the </w:t>
      </w:r>
      <w:r w:rsidR="00CF0C8F">
        <w:t xml:space="preserve">EUR </w:t>
      </w:r>
      <w:r w:rsidRPr="00981D37">
        <w:t xml:space="preserve">RASP, RESG RASP WG has identified organizational challenges and a series of </w:t>
      </w:r>
      <w:r w:rsidR="00BF41E7">
        <w:t>safety actions</w:t>
      </w:r>
      <w:r w:rsidRPr="00981D37">
        <w:t xml:space="preserve">, selected for the </w:t>
      </w:r>
      <w:r w:rsidR="00D751A5">
        <w:t xml:space="preserve">EUR </w:t>
      </w:r>
      <w:r w:rsidRPr="00981D37">
        <w:t xml:space="preserve">RASP, to address them. These are given priority in the </w:t>
      </w:r>
      <w:r w:rsidR="00BF41E7">
        <w:t xml:space="preserve">EUR </w:t>
      </w:r>
      <w:r w:rsidRPr="00981D37">
        <w:t>RASP since they are aimed at enhancing and strengthening the management of aviation safety at the regional level.</w:t>
      </w:r>
    </w:p>
    <w:p w14:paraId="65A403A3" w14:textId="720B52E4" w:rsidR="00C81C49" w:rsidRPr="00981D37" w:rsidRDefault="00C81C49" w:rsidP="007137ED">
      <w:pPr>
        <w:pStyle w:val="Standardtext"/>
        <w:rPr>
          <w:rFonts w:asciiTheme="minorHAnsi" w:hAnsiTheme="minorHAnsi" w:cstheme="minorHAnsi"/>
          <w:szCs w:val="28"/>
        </w:rPr>
      </w:pPr>
      <w:r w:rsidRPr="00981D37">
        <w:rPr>
          <w:rFonts w:asciiTheme="minorHAnsi" w:hAnsiTheme="minorHAnsi" w:cstheme="minorHAnsi"/>
          <w:szCs w:val="28"/>
        </w:rPr>
        <w:t xml:space="preserve">To address the organizational challenges listed </w:t>
      </w:r>
      <w:r>
        <w:rPr>
          <w:rFonts w:asciiTheme="minorHAnsi" w:hAnsiTheme="minorHAnsi" w:cstheme="minorHAnsi"/>
          <w:szCs w:val="28"/>
        </w:rPr>
        <w:t>below</w:t>
      </w:r>
      <w:r w:rsidRPr="00981D37">
        <w:rPr>
          <w:rFonts w:asciiTheme="minorHAnsi" w:hAnsiTheme="minorHAnsi" w:cstheme="minorHAnsi"/>
          <w:szCs w:val="28"/>
        </w:rPr>
        <w:t xml:space="preserve">, EASPG will implement a series of </w:t>
      </w:r>
      <w:r>
        <w:rPr>
          <w:rFonts w:asciiTheme="minorHAnsi" w:hAnsiTheme="minorHAnsi" w:cstheme="minorHAnsi"/>
          <w:szCs w:val="28"/>
        </w:rPr>
        <w:t>safety actions</w:t>
      </w:r>
      <w:r w:rsidRPr="00981D37">
        <w:rPr>
          <w:rFonts w:asciiTheme="minorHAnsi" w:hAnsiTheme="minorHAnsi" w:cstheme="minorHAnsi"/>
          <w:szCs w:val="28"/>
        </w:rPr>
        <w:t xml:space="preserve">, some of which are derived from the ICAO ORG roadmap, contained in the ICAO Global Aviation Safety Roadmap (Doc 10161). The full list of </w:t>
      </w:r>
      <w:proofErr w:type="gramStart"/>
      <w:r w:rsidRPr="00981D37">
        <w:rPr>
          <w:rFonts w:asciiTheme="minorHAnsi" w:hAnsiTheme="minorHAnsi" w:cstheme="minorHAnsi"/>
          <w:szCs w:val="28"/>
        </w:rPr>
        <w:t xml:space="preserve">the </w:t>
      </w:r>
      <w:r>
        <w:rPr>
          <w:rFonts w:asciiTheme="minorHAnsi" w:hAnsiTheme="minorHAnsi" w:cstheme="minorHAnsi"/>
          <w:szCs w:val="28"/>
        </w:rPr>
        <w:t>safety</w:t>
      </w:r>
      <w:proofErr w:type="gramEnd"/>
      <w:r>
        <w:rPr>
          <w:rFonts w:asciiTheme="minorHAnsi" w:hAnsiTheme="minorHAnsi" w:cstheme="minorHAnsi"/>
          <w:szCs w:val="28"/>
        </w:rPr>
        <w:t xml:space="preserve"> actions </w:t>
      </w:r>
      <w:r w:rsidRPr="00981D37">
        <w:rPr>
          <w:rFonts w:asciiTheme="minorHAnsi" w:hAnsiTheme="minorHAnsi" w:cstheme="minorHAnsi"/>
          <w:szCs w:val="28"/>
        </w:rPr>
        <w:t xml:space="preserve">is presented in </w:t>
      </w:r>
      <w:r w:rsidR="00AF5BDD" w:rsidRPr="00981D37">
        <w:rPr>
          <w:rFonts w:asciiTheme="minorHAnsi" w:hAnsiTheme="minorHAnsi" w:cstheme="minorHAnsi"/>
          <w:szCs w:val="28"/>
        </w:rPr>
        <w:t>Volume</w:t>
      </w:r>
      <w:r>
        <w:rPr>
          <w:rFonts w:asciiTheme="minorHAnsi" w:hAnsiTheme="minorHAnsi" w:cstheme="minorHAnsi"/>
          <w:szCs w:val="28"/>
        </w:rPr>
        <w:t xml:space="preserve"> II of EUR RASP</w:t>
      </w:r>
      <w:r w:rsidRPr="00981D37">
        <w:rPr>
          <w:rFonts w:asciiTheme="minorHAnsi" w:hAnsiTheme="minorHAnsi" w:cstheme="minorHAnsi"/>
          <w:szCs w:val="28"/>
        </w:rPr>
        <w:t>.</w:t>
      </w:r>
    </w:p>
    <w:p w14:paraId="60901051" w14:textId="77777777" w:rsidR="00BF41E7" w:rsidRPr="00631EF6" w:rsidRDefault="00BF41E7">
      <w:pPr>
        <w:pStyle w:val="Heading2"/>
        <w:numPr>
          <w:ilvl w:val="1"/>
          <w:numId w:val="33"/>
        </w:numPr>
        <w:ind w:left="567" w:hanging="567"/>
      </w:pPr>
      <w:bookmarkStart w:id="88" w:name="_Toc213137997"/>
      <w:r w:rsidRPr="00631EF6">
        <w:t>Improve safety by improving safety management</w:t>
      </w:r>
      <w:bookmarkEnd w:id="88"/>
      <w:r w:rsidRPr="00631EF6">
        <w:t xml:space="preserve"> </w:t>
      </w:r>
    </w:p>
    <w:p w14:paraId="7B5E4F02" w14:textId="26BB648A" w:rsidR="00981D37" w:rsidRPr="007137ED" w:rsidRDefault="00981D37" w:rsidP="007137ED">
      <w:pPr>
        <w:pStyle w:val="Standardtext"/>
      </w:pPr>
      <w:r w:rsidRPr="007137ED">
        <w:t xml:space="preserve">The eight critical elements (CEs) of a safety oversight system are defined by ICAO. EASPG is committed to the effective implementation of these eight CEs among all States in the region, as part of overall safety oversight responsibilities, which emphasize EASPG’s commitment to safety in respect of its aviation activities. The eight CEs are presented in </w:t>
      </w:r>
      <w:r w:rsidR="007137ED">
        <w:fldChar w:fldCharType="begin"/>
      </w:r>
      <w:r w:rsidR="007137ED">
        <w:instrText xml:space="preserve"> REF _Ref209687408 \h </w:instrText>
      </w:r>
      <w:r w:rsidR="007137ED">
        <w:fldChar w:fldCharType="separate"/>
      </w:r>
      <w:r w:rsidR="007137ED" w:rsidRPr="00981D37">
        <w:t xml:space="preserve">Figure </w:t>
      </w:r>
      <w:r w:rsidR="007137ED">
        <w:rPr>
          <w:noProof/>
        </w:rPr>
        <w:t>2</w:t>
      </w:r>
      <w:r w:rsidR="007137ED">
        <w:fldChar w:fldCharType="end"/>
      </w:r>
      <w:r w:rsidRPr="007137ED">
        <w:t>.</w:t>
      </w:r>
    </w:p>
    <w:p w14:paraId="559B0B6B" w14:textId="77777777" w:rsidR="00981D37" w:rsidRPr="00981D37" w:rsidRDefault="00981D37" w:rsidP="00981D37">
      <w:pPr>
        <w:jc w:val="center"/>
        <w:rPr>
          <w:rFonts w:asciiTheme="minorHAnsi" w:hAnsiTheme="minorHAnsi" w:cstheme="minorHAnsi"/>
          <w:sz w:val="22"/>
          <w:szCs w:val="28"/>
        </w:rPr>
      </w:pPr>
      <w:r w:rsidRPr="00981D37">
        <w:rPr>
          <w:rFonts w:asciiTheme="minorHAnsi" w:hAnsiTheme="minorHAnsi" w:cstheme="minorHAnsi"/>
          <w:noProof/>
          <w:sz w:val="22"/>
          <w:szCs w:val="28"/>
          <w:lang w:eastAsia="de-DE"/>
        </w:rPr>
        <w:drawing>
          <wp:inline distT="0" distB="0" distL="0" distR="0" wp14:anchorId="0CAB2A35" wp14:editId="1D7EFC63">
            <wp:extent cx="2523600" cy="2520000"/>
            <wp:effectExtent l="0" t="0" r="0" b="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23600" cy="2520000"/>
                    </a:xfrm>
                    <a:prstGeom prst="rect">
                      <a:avLst/>
                    </a:prstGeom>
                    <a:noFill/>
                  </pic:spPr>
                </pic:pic>
              </a:graphicData>
            </a:graphic>
          </wp:inline>
        </w:drawing>
      </w:r>
    </w:p>
    <w:p w14:paraId="06580B70" w14:textId="64C90A22" w:rsidR="0024357D" w:rsidRPr="00981D37" w:rsidRDefault="0024357D" w:rsidP="0024357D">
      <w:pPr>
        <w:pStyle w:val="Standardtext"/>
        <w:jc w:val="center"/>
      </w:pPr>
      <w:bookmarkStart w:id="89" w:name="_Ref209687408"/>
      <w:r w:rsidRPr="00981D37">
        <w:t xml:space="preserve">Figure </w:t>
      </w:r>
      <w:r w:rsidRPr="00981D37">
        <w:fldChar w:fldCharType="begin"/>
      </w:r>
      <w:r w:rsidRPr="00981D37">
        <w:instrText xml:space="preserve"> SEQ Figure \* ARABIC </w:instrText>
      </w:r>
      <w:r w:rsidRPr="00981D37">
        <w:fldChar w:fldCharType="separate"/>
      </w:r>
      <w:r>
        <w:rPr>
          <w:noProof/>
        </w:rPr>
        <w:t>2</w:t>
      </w:r>
      <w:r w:rsidRPr="00981D37">
        <w:fldChar w:fldCharType="end"/>
      </w:r>
      <w:bookmarkEnd w:id="89"/>
      <w:r w:rsidRPr="00981D37">
        <w:t xml:space="preserve">: Critical elements of a </w:t>
      </w:r>
      <w:r w:rsidR="00E308D4">
        <w:t>s</w:t>
      </w:r>
      <w:r w:rsidR="00E308D4" w:rsidRPr="00981D37">
        <w:t xml:space="preserve">tate’s </w:t>
      </w:r>
      <w:r w:rsidRPr="00981D37">
        <w:t>safety oversight system</w:t>
      </w:r>
    </w:p>
    <w:p w14:paraId="3811E934" w14:textId="184A1407" w:rsidR="00981D37" w:rsidRPr="00981D37" w:rsidRDefault="00981D37" w:rsidP="00637595">
      <w:pPr>
        <w:pStyle w:val="Standardtext"/>
      </w:pPr>
      <w:r w:rsidRPr="00981D37">
        <w:t xml:space="preserve">Certain deficiencies in a specific CE of a safety oversight system are common to </w:t>
      </w:r>
      <w:r w:rsidR="00AF5BDD" w:rsidRPr="00981D37">
        <w:t>most</w:t>
      </w:r>
      <w:r w:rsidRPr="00981D37">
        <w:t xml:space="preserve"> States in the region and </w:t>
      </w:r>
      <w:r w:rsidR="00341FFB">
        <w:t xml:space="preserve">are </w:t>
      </w:r>
      <w:r w:rsidRPr="00981D37">
        <w:t xml:space="preserve">considered a top concern. These deficiencies are addressed as a </w:t>
      </w:r>
      <w:proofErr w:type="gramStart"/>
      <w:r w:rsidRPr="00981D37">
        <w:t>regional safety issue</w:t>
      </w:r>
      <w:r w:rsidR="00341FFB">
        <w:t>s</w:t>
      </w:r>
      <w:proofErr w:type="gramEnd"/>
      <w:r w:rsidRPr="00981D37">
        <w:t xml:space="preserve"> in the </w:t>
      </w:r>
      <w:r w:rsidR="00341FFB">
        <w:t xml:space="preserve">EUR </w:t>
      </w:r>
      <w:r w:rsidRPr="00981D37">
        <w:t xml:space="preserve">RASP because of their impact on the ability of States to fulfil their safety oversight responsibilities, which impacts the </w:t>
      </w:r>
      <w:r w:rsidR="00341FFB" w:rsidRPr="00981D37">
        <w:t xml:space="preserve">whole </w:t>
      </w:r>
      <w:r w:rsidRPr="00981D37">
        <w:t>region.</w:t>
      </w:r>
    </w:p>
    <w:p w14:paraId="222C47DC" w14:textId="4BD22B57" w:rsidR="00E308D4" w:rsidRDefault="00981D37" w:rsidP="00637595">
      <w:pPr>
        <w:pStyle w:val="Standardtext"/>
      </w:pPr>
      <w:r w:rsidRPr="00981D37">
        <w:t>The latest ICAO activities, which aim to measure the effective implementation of the eight CEs of States’ individual safety oversight systems, as part of the ICAO Universal Safety Oversight Audit Programme (USOAP), have resulted in the following scores, compiled as an average for the European region of as a whole:</w:t>
      </w:r>
    </w:p>
    <w:p w14:paraId="58D58FC8" w14:textId="77777777" w:rsidR="00E308D4" w:rsidRDefault="00E308D4">
      <w:pPr>
        <w:rPr>
          <w:rFonts w:ascii="Calibri" w:hAnsi="Calibri" w:cs="Calibri"/>
          <w:color w:val="000000"/>
          <w:sz w:val="22"/>
          <w:szCs w:val="22"/>
          <w:lang w:val="en-US"/>
        </w:rPr>
      </w:pPr>
      <w:r>
        <w:br w:type="page"/>
      </w:r>
    </w:p>
    <w:p w14:paraId="11B79B6C" w14:textId="77777777" w:rsidR="00981D37" w:rsidRPr="00981D37" w:rsidRDefault="00981D37" w:rsidP="00637595">
      <w:pPr>
        <w:pStyle w:val="Standardtext"/>
      </w:pPr>
    </w:p>
    <w:tbl>
      <w:tblPr>
        <w:tblStyle w:val="ListTable3-Accent1"/>
        <w:tblW w:w="0" w:type="auto"/>
        <w:tblLook w:val="01E0" w:firstRow="1" w:lastRow="1" w:firstColumn="1" w:lastColumn="1" w:noHBand="0" w:noVBand="0"/>
      </w:tblPr>
      <w:tblGrid>
        <w:gridCol w:w="1058"/>
        <w:gridCol w:w="1437"/>
        <w:gridCol w:w="1058"/>
        <w:gridCol w:w="1058"/>
        <w:gridCol w:w="1334"/>
        <w:gridCol w:w="1058"/>
        <w:gridCol w:w="1058"/>
        <w:gridCol w:w="1068"/>
      </w:tblGrid>
      <w:tr w:rsidR="00981D37" w:rsidRPr="007137ED" w14:paraId="41AE286F" w14:textId="77777777" w:rsidTr="006478DD">
        <w:trPr>
          <w:cnfStyle w:val="100000000000" w:firstRow="1" w:lastRow="0" w:firstColumn="0" w:lastColumn="0" w:oddVBand="0" w:evenVBand="0" w:oddHBand="0" w:evenHBand="0" w:firstRowFirstColumn="0" w:firstRowLastColumn="0" w:lastRowFirstColumn="0" w:lastRowLastColumn="0"/>
          <w:trHeight w:hRule="exact" w:val="485"/>
        </w:trPr>
        <w:tc>
          <w:tcPr>
            <w:cnfStyle w:val="001000000100" w:firstRow="0" w:lastRow="0" w:firstColumn="1" w:lastColumn="0" w:oddVBand="0" w:evenVBand="0" w:oddHBand="0" w:evenHBand="0" w:firstRowFirstColumn="1" w:firstRowLastColumn="0" w:lastRowFirstColumn="0" w:lastRowLastColumn="0"/>
            <w:tcW w:w="0" w:type="auto"/>
            <w:gridSpan w:val="8"/>
          </w:tcPr>
          <w:p w14:paraId="17CD7FD7" w14:textId="77777777" w:rsidR="00981D37" w:rsidRPr="007137ED" w:rsidRDefault="00981D37" w:rsidP="00BA3FDF">
            <w:pPr>
              <w:pStyle w:val="TableParagraph"/>
              <w:ind w:left="31" w:right="-78"/>
              <w:jc w:val="center"/>
              <w:rPr>
                <w:rFonts w:asciiTheme="minorHAnsi" w:hAnsiTheme="minorHAnsi" w:cstheme="minorHAnsi"/>
                <w:i/>
              </w:rPr>
            </w:pPr>
            <w:proofErr w:type="gramStart"/>
            <w:r w:rsidRPr="007137ED">
              <w:rPr>
                <w:rFonts w:asciiTheme="minorHAnsi" w:hAnsiTheme="minorHAnsi" w:cstheme="minorHAnsi"/>
                <w:i/>
              </w:rPr>
              <w:t>Overall</w:t>
            </w:r>
            <w:proofErr w:type="gramEnd"/>
            <w:r w:rsidRPr="007137ED">
              <w:rPr>
                <w:rFonts w:asciiTheme="minorHAnsi" w:hAnsiTheme="minorHAnsi" w:cstheme="minorHAnsi"/>
                <w:i/>
              </w:rPr>
              <w:t xml:space="preserve"> EI score for EUR region</w:t>
            </w:r>
            <w:r w:rsidRPr="007137ED">
              <w:rPr>
                <w:rStyle w:val="FootnoteReference"/>
                <w:rFonts w:asciiTheme="minorHAnsi" w:hAnsiTheme="minorHAnsi" w:cstheme="minorHAnsi"/>
                <w:i/>
              </w:rPr>
              <w:footnoteReference w:id="14"/>
            </w:r>
          </w:p>
        </w:tc>
      </w:tr>
      <w:tr w:rsidR="00981D37" w:rsidRPr="007137ED" w14:paraId="4F51B524" w14:textId="77777777" w:rsidTr="006478DD">
        <w:trPr>
          <w:cnfStyle w:val="000000100000" w:firstRow="0" w:lastRow="0" w:firstColumn="0" w:lastColumn="0" w:oddVBand="0" w:evenVBand="0" w:oddHBand="1" w:evenHBand="0" w:firstRowFirstColumn="0" w:firstRowLastColumn="0" w:lastRowFirstColumn="0" w:lastRowLastColumn="0"/>
          <w:trHeight w:hRule="exact" w:val="485"/>
        </w:trPr>
        <w:tc>
          <w:tcPr>
            <w:cnfStyle w:val="001000000000" w:firstRow="0" w:lastRow="0" w:firstColumn="1" w:lastColumn="0" w:oddVBand="0" w:evenVBand="0" w:oddHBand="0" w:evenHBand="0" w:firstRowFirstColumn="0" w:firstRowLastColumn="0" w:lastRowFirstColumn="0" w:lastRowLastColumn="0"/>
            <w:tcW w:w="0" w:type="auto"/>
            <w:gridSpan w:val="8"/>
          </w:tcPr>
          <w:p w14:paraId="5151EF2F" w14:textId="3E622199" w:rsidR="00981D37" w:rsidRPr="007137ED" w:rsidRDefault="00981D37" w:rsidP="00BA3FDF">
            <w:pPr>
              <w:pStyle w:val="TableParagraph"/>
              <w:jc w:val="center"/>
              <w:rPr>
                <w:rFonts w:asciiTheme="minorHAnsi" w:hAnsiTheme="minorHAnsi" w:cstheme="minorHAnsi"/>
              </w:rPr>
            </w:pPr>
            <w:r w:rsidRPr="007137ED">
              <w:rPr>
                <w:rFonts w:asciiTheme="minorHAnsi" w:hAnsiTheme="minorHAnsi" w:cstheme="minorHAnsi"/>
              </w:rPr>
              <w:t>77.</w:t>
            </w:r>
            <w:r w:rsidR="006478DD">
              <w:rPr>
                <w:rFonts w:asciiTheme="minorHAnsi" w:hAnsiTheme="minorHAnsi" w:cstheme="minorHAnsi"/>
              </w:rPr>
              <w:t>67</w:t>
            </w:r>
            <w:r w:rsidRPr="007137ED">
              <w:rPr>
                <w:rFonts w:asciiTheme="minorHAnsi" w:hAnsiTheme="minorHAnsi" w:cstheme="minorHAnsi"/>
              </w:rPr>
              <w:t>%</w:t>
            </w:r>
          </w:p>
        </w:tc>
      </w:tr>
      <w:tr w:rsidR="00981D37" w:rsidRPr="007137ED" w14:paraId="4B2E67A5" w14:textId="77777777" w:rsidTr="006478DD">
        <w:trPr>
          <w:trHeight w:hRule="exact" w:val="486"/>
        </w:trPr>
        <w:tc>
          <w:tcPr>
            <w:cnfStyle w:val="001000000000" w:firstRow="0" w:lastRow="0" w:firstColumn="1" w:lastColumn="0" w:oddVBand="0" w:evenVBand="0" w:oddHBand="0" w:evenHBand="0" w:firstRowFirstColumn="0" w:firstRowLastColumn="0" w:lastRowFirstColumn="0" w:lastRowLastColumn="0"/>
            <w:tcW w:w="0" w:type="auto"/>
            <w:gridSpan w:val="8"/>
          </w:tcPr>
          <w:p w14:paraId="0C9F0278" w14:textId="77777777" w:rsidR="00981D37" w:rsidRPr="007137ED" w:rsidRDefault="00981D37" w:rsidP="00BA3FDF">
            <w:pPr>
              <w:pStyle w:val="TableParagraph"/>
              <w:spacing w:before="144"/>
              <w:ind w:left="3674" w:right="3674"/>
              <w:jc w:val="center"/>
              <w:rPr>
                <w:rFonts w:asciiTheme="minorHAnsi" w:hAnsiTheme="minorHAnsi" w:cstheme="minorHAnsi"/>
                <w:b w:val="0"/>
              </w:rPr>
            </w:pPr>
            <w:r w:rsidRPr="007137ED">
              <w:rPr>
                <w:rFonts w:asciiTheme="minorHAnsi" w:hAnsiTheme="minorHAnsi" w:cstheme="minorHAnsi"/>
              </w:rPr>
              <w:t>EI score by CE for</w:t>
            </w:r>
          </w:p>
        </w:tc>
      </w:tr>
      <w:tr w:rsidR="00981D37" w:rsidRPr="007137ED" w14:paraId="1C20256F" w14:textId="77777777" w:rsidTr="006478DD">
        <w:trPr>
          <w:cnfStyle w:val="000000100000" w:firstRow="0" w:lastRow="0" w:firstColumn="0" w:lastColumn="0" w:oddVBand="0" w:evenVBand="0" w:oddHBand="1" w:evenHBand="0" w:firstRowFirstColumn="0" w:firstRowLastColumn="0" w:lastRowFirstColumn="0" w:lastRowLastColumn="0"/>
          <w:trHeight w:hRule="exact" w:val="485"/>
        </w:trPr>
        <w:tc>
          <w:tcPr>
            <w:cnfStyle w:val="001000000000" w:firstRow="0" w:lastRow="0" w:firstColumn="1" w:lastColumn="0" w:oddVBand="0" w:evenVBand="0" w:oddHBand="0" w:evenHBand="0" w:firstRowFirstColumn="0" w:firstRowLastColumn="0" w:lastRowFirstColumn="0" w:lastRowLastColumn="0"/>
            <w:tcW w:w="0" w:type="auto"/>
          </w:tcPr>
          <w:p w14:paraId="4E4B0BAB" w14:textId="77777777" w:rsidR="00981D37" w:rsidRPr="007137ED" w:rsidRDefault="00981D37" w:rsidP="00BA3FDF">
            <w:pPr>
              <w:pStyle w:val="TableParagraph"/>
              <w:ind w:right="391"/>
              <w:jc w:val="right"/>
              <w:rPr>
                <w:rFonts w:asciiTheme="minorHAnsi" w:hAnsiTheme="minorHAnsi" w:cstheme="minorHAnsi"/>
                <w:b w:val="0"/>
              </w:rPr>
            </w:pPr>
            <w:r w:rsidRPr="007137ED">
              <w:rPr>
                <w:rFonts w:asciiTheme="minorHAnsi" w:hAnsiTheme="minorHAnsi" w:cstheme="minorHAnsi"/>
              </w:rPr>
              <w:t>CE-1</w:t>
            </w:r>
          </w:p>
        </w:tc>
        <w:tc>
          <w:tcPr>
            <w:cnfStyle w:val="000010000000" w:firstRow="0" w:lastRow="0" w:firstColumn="0" w:lastColumn="0" w:oddVBand="1" w:evenVBand="0" w:oddHBand="0" w:evenHBand="0" w:firstRowFirstColumn="0" w:firstRowLastColumn="0" w:lastRowFirstColumn="0" w:lastRowLastColumn="0"/>
            <w:tcW w:w="0" w:type="auto"/>
          </w:tcPr>
          <w:p w14:paraId="300B7A16" w14:textId="77777777" w:rsidR="00981D37" w:rsidRPr="007137ED" w:rsidRDefault="00981D37" w:rsidP="00BA3FDF">
            <w:pPr>
              <w:pStyle w:val="TableParagraph"/>
              <w:ind w:left="371" w:right="372"/>
              <w:jc w:val="center"/>
              <w:rPr>
                <w:rFonts w:asciiTheme="minorHAnsi" w:hAnsiTheme="minorHAnsi" w:cstheme="minorHAnsi"/>
                <w:b/>
              </w:rPr>
            </w:pPr>
            <w:r w:rsidRPr="007137ED">
              <w:rPr>
                <w:rFonts w:asciiTheme="minorHAnsi" w:hAnsiTheme="minorHAnsi" w:cstheme="minorHAnsi"/>
                <w:b/>
              </w:rPr>
              <w:t>CE-2</w:t>
            </w:r>
          </w:p>
        </w:tc>
        <w:tc>
          <w:tcPr>
            <w:tcW w:w="0" w:type="auto"/>
          </w:tcPr>
          <w:p w14:paraId="43576519" w14:textId="77777777" w:rsidR="00981D37" w:rsidRPr="007137ED" w:rsidRDefault="00981D37" w:rsidP="00BA3FDF">
            <w:pPr>
              <w:pStyle w:val="TableParagraph"/>
              <w:ind w:right="391"/>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7137ED">
              <w:rPr>
                <w:rFonts w:asciiTheme="minorHAnsi" w:hAnsiTheme="minorHAnsi" w:cstheme="minorHAnsi"/>
                <w:b/>
              </w:rPr>
              <w:t>CE-3</w:t>
            </w:r>
          </w:p>
        </w:tc>
        <w:tc>
          <w:tcPr>
            <w:cnfStyle w:val="000010000000" w:firstRow="0" w:lastRow="0" w:firstColumn="0" w:lastColumn="0" w:oddVBand="1" w:evenVBand="0" w:oddHBand="0" w:evenHBand="0" w:firstRowFirstColumn="0" w:firstRowLastColumn="0" w:lastRowFirstColumn="0" w:lastRowLastColumn="0"/>
            <w:tcW w:w="0" w:type="auto"/>
          </w:tcPr>
          <w:p w14:paraId="0ACE5863" w14:textId="77777777" w:rsidR="00981D37" w:rsidRPr="007137ED" w:rsidRDefault="00981D37" w:rsidP="00BA3FDF">
            <w:pPr>
              <w:pStyle w:val="TableParagraph"/>
              <w:ind w:right="391"/>
              <w:jc w:val="right"/>
              <w:rPr>
                <w:rFonts w:asciiTheme="minorHAnsi" w:hAnsiTheme="minorHAnsi" w:cstheme="minorHAnsi"/>
                <w:b/>
              </w:rPr>
            </w:pPr>
            <w:r w:rsidRPr="007137ED">
              <w:rPr>
                <w:rFonts w:asciiTheme="minorHAnsi" w:hAnsiTheme="minorHAnsi" w:cstheme="minorHAnsi"/>
                <w:b/>
              </w:rPr>
              <w:t>CE-4</w:t>
            </w:r>
          </w:p>
        </w:tc>
        <w:tc>
          <w:tcPr>
            <w:tcW w:w="0" w:type="auto"/>
          </w:tcPr>
          <w:p w14:paraId="29217B73" w14:textId="77777777" w:rsidR="00981D37" w:rsidRPr="007137ED" w:rsidRDefault="00981D37" w:rsidP="00BA3FDF">
            <w:pPr>
              <w:pStyle w:val="TableParagraph"/>
              <w:ind w:left="392"/>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7137ED">
              <w:rPr>
                <w:rFonts w:asciiTheme="minorHAnsi" w:hAnsiTheme="minorHAnsi" w:cstheme="minorHAnsi"/>
                <w:b/>
              </w:rPr>
              <w:t>CE-5</w:t>
            </w:r>
          </w:p>
        </w:tc>
        <w:tc>
          <w:tcPr>
            <w:cnfStyle w:val="000010000000" w:firstRow="0" w:lastRow="0" w:firstColumn="0" w:lastColumn="0" w:oddVBand="1" w:evenVBand="0" w:oddHBand="0" w:evenHBand="0" w:firstRowFirstColumn="0" w:firstRowLastColumn="0" w:lastRowFirstColumn="0" w:lastRowLastColumn="0"/>
            <w:tcW w:w="0" w:type="auto"/>
          </w:tcPr>
          <w:p w14:paraId="0489A813" w14:textId="77777777" w:rsidR="00981D37" w:rsidRPr="007137ED" w:rsidRDefault="00981D37" w:rsidP="00BA3FDF">
            <w:pPr>
              <w:pStyle w:val="TableParagraph"/>
              <w:ind w:right="391"/>
              <w:jc w:val="right"/>
              <w:rPr>
                <w:rFonts w:asciiTheme="minorHAnsi" w:hAnsiTheme="minorHAnsi" w:cstheme="minorHAnsi"/>
                <w:b/>
              </w:rPr>
            </w:pPr>
            <w:r w:rsidRPr="007137ED">
              <w:rPr>
                <w:rFonts w:asciiTheme="minorHAnsi" w:hAnsiTheme="minorHAnsi" w:cstheme="minorHAnsi"/>
                <w:b/>
              </w:rPr>
              <w:t>CE-6</w:t>
            </w:r>
          </w:p>
        </w:tc>
        <w:tc>
          <w:tcPr>
            <w:tcW w:w="0" w:type="auto"/>
          </w:tcPr>
          <w:p w14:paraId="30018458" w14:textId="77777777" w:rsidR="00981D37" w:rsidRPr="007137ED" w:rsidRDefault="00981D37" w:rsidP="00BA3FDF">
            <w:pPr>
              <w:pStyle w:val="TableParagraph"/>
              <w:ind w:right="391"/>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7137ED">
              <w:rPr>
                <w:rFonts w:asciiTheme="minorHAnsi" w:hAnsiTheme="minorHAnsi" w:cstheme="minorHAnsi"/>
                <w:b/>
              </w:rPr>
              <w:t>CE-7</w:t>
            </w:r>
          </w:p>
        </w:tc>
        <w:tc>
          <w:tcPr>
            <w:cnfStyle w:val="000100000000" w:firstRow="0" w:lastRow="0" w:firstColumn="0" w:lastColumn="1" w:oddVBand="0" w:evenVBand="0" w:oddHBand="0" w:evenHBand="0" w:firstRowFirstColumn="0" w:firstRowLastColumn="0" w:lastRowFirstColumn="0" w:lastRowLastColumn="0"/>
            <w:tcW w:w="0" w:type="auto"/>
          </w:tcPr>
          <w:p w14:paraId="453EFA96" w14:textId="77777777" w:rsidR="00981D37" w:rsidRPr="007137ED" w:rsidRDefault="00981D37" w:rsidP="00BA3FDF">
            <w:pPr>
              <w:pStyle w:val="TableParagraph"/>
              <w:ind w:right="391"/>
              <w:jc w:val="right"/>
              <w:rPr>
                <w:rFonts w:asciiTheme="minorHAnsi" w:hAnsiTheme="minorHAnsi" w:cstheme="minorHAnsi"/>
                <w:b w:val="0"/>
              </w:rPr>
            </w:pPr>
            <w:r w:rsidRPr="007137ED">
              <w:rPr>
                <w:rFonts w:asciiTheme="minorHAnsi" w:hAnsiTheme="minorHAnsi" w:cstheme="minorHAnsi"/>
              </w:rPr>
              <w:t>CE-8</w:t>
            </w:r>
          </w:p>
        </w:tc>
      </w:tr>
      <w:tr w:rsidR="00981D37" w:rsidRPr="002E77C0" w14:paraId="2B50A5B7" w14:textId="77777777" w:rsidTr="006478DD">
        <w:trPr>
          <w:trHeight w:hRule="exact" w:val="485"/>
        </w:trPr>
        <w:tc>
          <w:tcPr>
            <w:cnfStyle w:val="001000000000" w:firstRow="0" w:lastRow="0" w:firstColumn="1" w:lastColumn="0" w:oddVBand="0" w:evenVBand="0" w:oddHBand="0" w:evenHBand="0" w:firstRowFirstColumn="0" w:firstRowLastColumn="0" w:lastRowFirstColumn="0" w:lastRowLastColumn="0"/>
            <w:tcW w:w="0" w:type="auto"/>
          </w:tcPr>
          <w:p w14:paraId="1848DE1B" w14:textId="4BA0BB14" w:rsidR="00981D37" w:rsidRPr="002E77C0" w:rsidRDefault="00981D37" w:rsidP="002E77C0">
            <w:pPr>
              <w:pStyle w:val="TableParagraph"/>
              <w:ind w:left="101"/>
              <w:jc w:val="center"/>
              <w:rPr>
                <w:rFonts w:asciiTheme="minorHAnsi" w:hAnsiTheme="minorHAnsi" w:cstheme="minorHAnsi"/>
                <w:b w:val="0"/>
                <w:bCs w:val="0"/>
              </w:rPr>
            </w:pPr>
            <w:r w:rsidRPr="002E77C0">
              <w:rPr>
                <w:rFonts w:asciiTheme="minorHAnsi" w:hAnsiTheme="minorHAnsi" w:cstheme="minorHAnsi"/>
                <w:b w:val="0"/>
                <w:bCs w:val="0"/>
              </w:rPr>
              <w:t>8</w:t>
            </w:r>
            <w:r w:rsidR="006478DD">
              <w:rPr>
                <w:rFonts w:asciiTheme="minorHAnsi" w:hAnsiTheme="minorHAnsi" w:cstheme="minorHAnsi"/>
                <w:b w:val="0"/>
                <w:bCs w:val="0"/>
              </w:rPr>
              <w:t>4</w:t>
            </w:r>
            <w:r w:rsidRPr="002E77C0">
              <w:rPr>
                <w:rFonts w:asciiTheme="minorHAnsi" w:hAnsiTheme="minorHAnsi" w:cstheme="minorHAnsi"/>
                <w:b w:val="0"/>
                <w:bCs w:val="0"/>
              </w:rPr>
              <w:t>.</w:t>
            </w:r>
            <w:r w:rsidR="006478DD">
              <w:rPr>
                <w:rFonts w:asciiTheme="minorHAnsi" w:hAnsiTheme="minorHAnsi" w:cstheme="minorHAnsi"/>
                <w:b w:val="0"/>
                <w:bCs w:val="0"/>
              </w:rPr>
              <w:t>77</w:t>
            </w:r>
            <w:r w:rsidR="002E77C0">
              <w:rPr>
                <w:rFonts w:asciiTheme="minorHAnsi" w:hAnsiTheme="minorHAnsi" w:cstheme="minorHAnsi"/>
                <w:b w:val="0"/>
                <w:bCs w:val="0"/>
              </w:rPr>
              <w:t>%</w:t>
            </w:r>
          </w:p>
        </w:tc>
        <w:tc>
          <w:tcPr>
            <w:cnfStyle w:val="000010000000" w:firstRow="0" w:lastRow="0" w:firstColumn="0" w:lastColumn="0" w:oddVBand="1" w:evenVBand="0" w:oddHBand="0" w:evenHBand="0" w:firstRowFirstColumn="0" w:firstRowLastColumn="0" w:lastRowFirstColumn="0" w:lastRowLastColumn="0"/>
            <w:tcW w:w="0" w:type="auto"/>
          </w:tcPr>
          <w:p w14:paraId="3E7D6FED" w14:textId="6BE5E2BE" w:rsidR="00981D37" w:rsidRPr="002E77C0" w:rsidRDefault="00981D37" w:rsidP="00954757">
            <w:pPr>
              <w:pStyle w:val="TableParagraph"/>
              <w:ind w:left="101"/>
              <w:jc w:val="center"/>
              <w:rPr>
                <w:rFonts w:asciiTheme="minorHAnsi" w:hAnsiTheme="minorHAnsi" w:cstheme="minorHAnsi"/>
              </w:rPr>
            </w:pPr>
            <w:r w:rsidRPr="002E77C0">
              <w:rPr>
                <w:rFonts w:asciiTheme="minorHAnsi" w:hAnsiTheme="minorHAnsi" w:cstheme="minorHAnsi"/>
              </w:rPr>
              <w:t>7</w:t>
            </w:r>
            <w:r w:rsidR="006478DD">
              <w:rPr>
                <w:rFonts w:asciiTheme="minorHAnsi" w:hAnsiTheme="minorHAnsi" w:cstheme="minorHAnsi"/>
              </w:rPr>
              <w:t>7</w:t>
            </w:r>
            <w:r w:rsidRPr="002E77C0">
              <w:rPr>
                <w:rFonts w:asciiTheme="minorHAnsi" w:hAnsiTheme="minorHAnsi" w:cstheme="minorHAnsi"/>
              </w:rPr>
              <w:t>.</w:t>
            </w:r>
            <w:r w:rsidR="006478DD">
              <w:rPr>
                <w:rFonts w:asciiTheme="minorHAnsi" w:hAnsiTheme="minorHAnsi" w:cstheme="minorHAnsi"/>
              </w:rPr>
              <w:t>42</w:t>
            </w:r>
            <w:r w:rsidRPr="002E77C0">
              <w:rPr>
                <w:rFonts w:asciiTheme="minorHAnsi" w:hAnsiTheme="minorHAnsi" w:cstheme="minorHAnsi"/>
              </w:rPr>
              <w:t>%</w:t>
            </w:r>
          </w:p>
        </w:tc>
        <w:tc>
          <w:tcPr>
            <w:tcW w:w="0" w:type="auto"/>
          </w:tcPr>
          <w:p w14:paraId="6D3BA0D3" w14:textId="14E97072" w:rsidR="00981D37" w:rsidRPr="002E77C0" w:rsidRDefault="00981D37" w:rsidP="002E77C0">
            <w:pPr>
              <w:pStyle w:val="TableParagraph"/>
              <w:ind w:left="10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E77C0">
              <w:rPr>
                <w:rFonts w:asciiTheme="minorHAnsi" w:hAnsiTheme="minorHAnsi" w:cstheme="minorHAnsi"/>
              </w:rPr>
              <w:t>78%</w:t>
            </w:r>
          </w:p>
        </w:tc>
        <w:tc>
          <w:tcPr>
            <w:cnfStyle w:val="000010000000" w:firstRow="0" w:lastRow="0" w:firstColumn="0" w:lastColumn="0" w:oddVBand="1" w:evenVBand="0" w:oddHBand="0" w:evenHBand="0" w:firstRowFirstColumn="0" w:firstRowLastColumn="0" w:lastRowFirstColumn="0" w:lastRowLastColumn="0"/>
            <w:tcW w:w="0" w:type="auto"/>
          </w:tcPr>
          <w:p w14:paraId="2395B4AB" w14:textId="7A9D5C2D" w:rsidR="00981D37" w:rsidRPr="002E77C0" w:rsidRDefault="00981D37" w:rsidP="002E77C0">
            <w:pPr>
              <w:pStyle w:val="TableParagraph"/>
              <w:ind w:left="101"/>
              <w:jc w:val="center"/>
              <w:rPr>
                <w:rFonts w:asciiTheme="minorHAnsi" w:hAnsiTheme="minorHAnsi" w:cstheme="minorHAnsi"/>
              </w:rPr>
            </w:pPr>
            <w:r w:rsidRPr="002E77C0">
              <w:rPr>
                <w:rFonts w:asciiTheme="minorHAnsi" w:hAnsiTheme="minorHAnsi" w:cstheme="minorHAnsi"/>
              </w:rPr>
              <w:t>6</w:t>
            </w:r>
            <w:r w:rsidR="006478DD">
              <w:rPr>
                <w:rFonts w:asciiTheme="minorHAnsi" w:hAnsiTheme="minorHAnsi" w:cstheme="minorHAnsi"/>
              </w:rPr>
              <w:t>6</w:t>
            </w:r>
            <w:r w:rsidRPr="002E77C0">
              <w:rPr>
                <w:rFonts w:asciiTheme="minorHAnsi" w:hAnsiTheme="minorHAnsi" w:cstheme="minorHAnsi"/>
              </w:rPr>
              <w:t>.</w:t>
            </w:r>
            <w:r w:rsidR="006478DD">
              <w:rPr>
                <w:rFonts w:asciiTheme="minorHAnsi" w:hAnsiTheme="minorHAnsi" w:cstheme="minorHAnsi"/>
              </w:rPr>
              <w:t>9</w:t>
            </w:r>
            <w:r w:rsidRPr="002E77C0">
              <w:rPr>
                <w:rFonts w:asciiTheme="minorHAnsi" w:hAnsiTheme="minorHAnsi" w:cstheme="minorHAnsi"/>
              </w:rPr>
              <w:t>1%</w:t>
            </w:r>
          </w:p>
        </w:tc>
        <w:tc>
          <w:tcPr>
            <w:tcW w:w="0" w:type="auto"/>
          </w:tcPr>
          <w:p w14:paraId="4140BAE5" w14:textId="64D3E642" w:rsidR="00981D37" w:rsidRPr="002E77C0" w:rsidRDefault="00981D37" w:rsidP="002E77C0">
            <w:pPr>
              <w:pStyle w:val="TableParagraph"/>
              <w:ind w:left="10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E77C0">
              <w:rPr>
                <w:rFonts w:asciiTheme="minorHAnsi" w:hAnsiTheme="minorHAnsi" w:cstheme="minorHAnsi"/>
              </w:rPr>
              <w:t>7</w:t>
            </w:r>
            <w:r w:rsidR="006478DD">
              <w:rPr>
                <w:rFonts w:asciiTheme="minorHAnsi" w:hAnsiTheme="minorHAnsi" w:cstheme="minorHAnsi"/>
              </w:rPr>
              <w:t>8</w:t>
            </w:r>
            <w:r w:rsidRPr="002E77C0">
              <w:rPr>
                <w:rFonts w:asciiTheme="minorHAnsi" w:hAnsiTheme="minorHAnsi" w:cstheme="minorHAnsi"/>
              </w:rPr>
              <w:t>.</w:t>
            </w:r>
            <w:r w:rsidR="006478DD">
              <w:rPr>
                <w:rFonts w:asciiTheme="minorHAnsi" w:hAnsiTheme="minorHAnsi" w:cstheme="minorHAnsi"/>
              </w:rPr>
              <w:t>12</w:t>
            </w:r>
            <w:r w:rsidRPr="002E77C0">
              <w:rPr>
                <w:rFonts w:asciiTheme="minorHAnsi" w:hAnsiTheme="minorHAnsi" w:cstheme="minorHAnsi"/>
              </w:rPr>
              <w:t>%</w:t>
            </w:r>
          </w:p>
        </w:tc>
        <w:tc>
          <w:tcPr>
            <w:cnfStyle w:val="000010000000" w:firstRow="0" w:lastRow="0" w:firstColumn="0" w:lastColumn="0" w:oddVBand="1" w:evenVBand="0" w:oddHBand="0" w:evenHBand="0" w:firstRowFirstColumn="0" w:firstRowLastColumn="0" w:lastRowFirstColumn="0" w:lastRowLastColumn="0"/>
            <w:tcW w:w="0" w:type="auto"/>
          </w:tcPr>
          <w:p w14:paraId="6B4EB490" w14:textId="38E2F69C" w:rsidR="00981D37" w:rsidRPr="002E77C0" w:rsidRDefault="00981D37" w:rsidP="002E77C0">
            <w:pPr>
              <w:pStyle w:val="TableParagraph"/>
              <w:ind w:left="101"/>
              <w:jc w:val="center"/>
              <w:rPr>
                <w:rFonts w:asciiTheme="minorHAnsi" w:hAnsiTheme="minorHAnsi" w:cstheme="minorHAnsi"/>
              </w:rPr>
            </w:pPr>
            <w:r w:rsidRPr="002E77C0">
              <w:rPr>
                <w:rFonts w:asciiTheme="minorHAnsi" w:hAnsiTheme="minorHAnsi" w:cstheme="minorHAnsi"/>
              </w:rPr>
              <w:t>81.</w:t>
            </w:r>
            <w:r w:rsidR="006478DD">
              <w:rPr>
                <w:rFonts w:asciiTheme="minorHAnsi" w:hAnsiTheme="minorHAnsi" w:cstheme="minorHAnsi"/>
              </w:rPr>
              <w:t>52</w:t>
            </w:r>
            <w:r w:rsidRPr="002E77C0">
              <w:rPr>
                <w:rFonts w:asciiTheme="minorHAnsi" w:hAnsiTheme="minorHAnsi" w:cstheme="minorHAnsi"/>
              </w:rPr>
              <w:t>%</w:t>
            </w:r>
          </w:p>
        </w:tc>
        <w:tc>
          <w:tcPr>
            <w:tcW w:w="0" w:type="auto"/>
          </w:tcPr>
          <w:p w14:paraId="4571DC31" w14:textId="361AFE34" w:rsidR="00981D37" w:rsidRPr="002E77C0" w:rsidRDefault="00981D37" w:rsidP="002E77C0">
            <w:pPr>
              <w:pStyle w:val="TableParagraph"/>
              <w:ind w:left="10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E77C0">
              <w:rPr>
                <w:rFonts w:asciiTheme="minorHAnsi" w:hAnsiTheme="minorHAnsi" w:cstheme="minorHAnsi"/>
              </w:rPr>
              <w:t>7</w:t>
            </w:r>
            <w:r w:rsidR="006478DD">
              <w:rPr>
                <w:rFonts w:asciiTheme="minorHAnsi" w:hAnsiTheme="minorHAnsi" w:cstheme="minorHAnsi"/>
              </w:rPr>
              <w:t>6.16</w:t>
            </w:r>
            <w:r w:rsidRPr="002E77C0">
              <w:rPr>
                <w:rFonts w:asciiTheme="minorHAnsi" w:hAnsiTheme="minorHAnsi" w:cstheme="minorHAnsi"/>
              </w:rPr>
              <w:t>%</w:t>
            </w:r>
          </w:p>
        </w:tc>
        <w:tc>
          <w:tcPr>
            <w:cnfStyle w:val="000100000000" w:firstRow="0" w:lastRow="0" w:firstColumn="0" w:lastColumn="1" w:oddVBand="0" w:evenVBand="0" w:oddHBand="0" w:evenHBand="0" w:firstRowFirstColumn="0" w:firstRowLastColumn="0" w:lastRowFirstColumn="0" w:lastRowLastColumn="0"/>
            <w:tcW w:w="0" w:type="auto"/>
          </w:tcPr>
          <w:p w14:paraId="3C192296" w14:textId="77777777" w:rsidR="00981D37" w:rsidRPr="002E77C0" w:rsidRDefault="00981D37" w:rsidP="002E77C0">
            <w:pPr>
              <w:pStyle w:val="TableParagraph"/>
              <w:ind w:left="101"/>
              <w:jc w:val="center"/>
              <w:rPr>
                <w:rFonts w:asciiTheme="minorHAnsi" w:hAnsiTheme="minorHAnsi" w:cstheme="minorHAnsi"/>
                <w:b w:val="0"/>
                <w:bCs w:val="0"/>
              </w:rPr>
            </w:pPr>
            <w:r w:rsidRPr="002E77C0">
              <w:rPr>
                <w:rFonts w:asciiTheme="minorHAnsi" w:hAnsiTheme="minorHAnsi" w:cstheme="minorHAnsi"/>
                <w:b w:val="0"/>
                <w:bCs w:val="0"/>
              </w:rPr>
              <w:t>69.63%</w:t>
            </w:r>
          </w:p>
        </w:tc>
      </w:tr>
      <w:tr w:rsidR="00981D37" w:rsidRPr="007137ED" w14:paraId="19AB9D30" w14:textId="77777777" w:rsidTr="006478DD">
        <w:trPr>
          <w:cnfStyle w:val="000000100000" w:firstRow="0" w:lastRow="0" w:firstColumn="0" w:lastColumn="0" w:oddVBand="0" w:evenVBand="0" w:oddHBand="1" w:evenHBand="0" w:firstRowFirstColumn="0" w:firstRowLastColumn="0" w:lastRowFirstColumn="0" w:lastRowLastColumn="0"/>
          <w:trHeight w:hRule="exact" w:val="485"/>
        </w:trPr>
        <w:tc>
          <w:tcPr>
            <w:cnfStyle w:val="001000000000" w:firstRow="0" w:lastRow="0" w:firstColumn="1" w:lastColumn="0" w:oddVBand="0" w:evenVBand="0" w:oddHBand="0" w:evenHBand="0" w:firstRowFirstColumn="0" w:firstRowLastColumn="0" w:lastRowFirstColumn="0" w:lastRowLastColumn="0"/>
            <w:tcW w:w="0" w:type="auto"/>
            <w:gridSpan w:val="8"/>
          </w:tcPr>
          <w:p w14:paraId="4FF2336C" w14:textId="77777777" w:rsidR="00981D37" w:rsidRPr="007137ED" w:rsidRDefault="00981D37" w:rsidP="00BA3FDF">
            <w:pPr>
              <w:pStyle w:val="TableParagraph"/>
              <w:ind w:left="31" w:right="-78"/>
              <w:jc w:val="center"/>
              <w:rPr>
                <w:rFonts w:asciiTheme="minorHAnsi" w:hAnsiTheme="minorHAnsi" w:cstheme="minorHAnsi"/>
                <w:i/>
              </w:rPr>
            </w:pPr>
            <w:r w:rsidRPr="007137ED">
              <w:rPr>
                <w:rFonts w:asciiTheme="minorHAnsi" w:hAnsiTheme="minorHAnsi" w:cstheme="minorHAnsi"/>
                <w:i/>
              </w:rPr>
              <w:t>EI score by audit area</w:t>
            </w:r>
            <w:r w:rsidRPr="007137ED">
              <w:rPr>
                <w:rStyle w:val="FootnoteReference"/>
                <w:rFonts w:asciiTheme="minorHAnsi" w:hAnsiTheme="minorHAnsi" w:cstheme="minorHAnsi"/>
                <w:i/>
              </w:rPr>
              <w:footnoteReference w:id="15"/>
            </w:r>
            <w:r w:rsidRPr="007137ED">
              <w:rPr>
                <w:rFonts w:asciiTheme="minorHAnsi" w:hAnsiTheme="minorHAnsi" w:cstheme="minorHAnsi"/>
                <w:i/>
              </w:rPr>
              <w:t xml:space="preserve"> for</w:t>
            </w:r>
          </w:p>
        </w:tc>
      </w:tr>
      <w:tr w:rsidR="00981D37" w:rsidRPr="007137ED" w14:paraId="150D0D5B" w14:textId="77777777" w:rsidTr="006478DD">
        <w:trPr>
          <w:trHeight w:hRule="exact" w:val="485"/>
        </w:trPr>
        <w:tc>
          <w:tcPr>
            <w:cnfStyle w:val="001000000000" w:firstRow="0" w:lastRow="0" w:firstColumn="1" w:lastColumn="0" w:oddVBand="0" w:evenVBand="0" w:oddHBand="0" w:evenHBand="0" w:firstRowFirstColumn="0" w:firstRowLastColumn="0" w:lastRowFirstColumn="0" w:lastRowLastColumn="0"/>
            <w:tcW w:w="0" w:type="auto"/>
          </w:tcPr>
          <w:p w14:paraId="67BA03F1" w14:textId="77777777" w:rsidR="00981D37" w:rsidRPr="007137ED" w:rsidRDefault="00981D37" w:rsidP="00AF5932">
            <w:pPr>
              <w:pStyle w:val="TableParagraph"/>
              <w:ind w:right="409"/>
              <w:jc w:val="both"/>
              <w:rPr>
                <w:rFonts w:asciiTheme="minorHAnsi" w:hAnsiTheme="minorHAnsi" w:cstheme="minorHAnsi"/>
                <w:b w:val="0"/>
              </w:rPr>
            </w:pPr>
            <w:r w:rsidRPr="007137ED">
              <w:rPr>
                <w:rFonts w:asciiTheme="minorHAnsi" w:hAnsiTheme="minorHAnsi" w:cstheme="minorHAnsi"/>
              </w:rPr>
              <w:t>LEG</w:t>
            </w:r>
          </w:p>
        </w:tc>
        <w:tc>
          <w:tcPr>
            <w:cnfStyle w:val="000010000000" w:firstRow="0" w:lastRow="0" w:firstColumn="0" w:lastColumn="0" w:oddVBand="1" w:evenVBand="0" w:oddHBand="0" w:evenHBand="0" w:firstRowFirstColumn="0" w:firstRowLastColumn="0" w:lastRowFirstColumn="0" w:lastRowLastColumn="0"/>
            <w:tcW w:w="0" w:type="auto"/>
          </w:tcPr>
          <w:p w14:paraId="663615A8" w14:textId="77777777" w:rsidR="00981D37" w:rsidRPr="007137ED" w:rsidRDefault="00981D37" w:rsidP="00AF5932">
            <w:pPr>
              <w:pStyle w:val="TableParagraph"/>
              <w:ind w:left="371" w:right="372"/>
              <w:jc w:val="both"/>
              <w:rPr>
                <w:rFonts w:asciiTheme="minorHAnsi" w:hAnsiTheme="minorHAnsi" w:cstheme="minorHAnsi"/>
                <w:b/>
              </w:rPr>
            </w:pPr>
            <w:r w:rsidRPr="007137ED">
              <w:rPr>
                <w:rFonts w:asciiTheme="minorHAnsi" w:hAnsiTheme="minorHAnsi" w:cstheme="minorHAnsi"/>
                <w:b/>
              </w:rPr>
              <w:t>ORG</w:t>
            </w:r>
          </w:p>
        </w:tc>
        <w:tc>
          <w:tcPr>
            <w:tcW w:w="0" w:type="auto"/>
          </w:tcPr>
          <w:p w14:paraId="43E9B775" w14:textId="77777777" w:rsidR="00981D37" w:rsidRPr="007137ED" w:rsidRDefault="00981D37" w:rsidP="00AF5932">
            <w:pPr>
              <w:pStyle w:val="TableParagraph"/>
              <w:ind w:right="4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7137ED">
              <w:rPr>
                <w:rFonts w:asciiTheme="minorHAnsi" w:hAnsiTheme="minorHAnsi" w:cstheme="minorHAnsi"/>
                <w:b/>
              </w:rPr>
              <w:t>PEL</w:t>
            </w:r>
          </w:p>
        </w:tc>
        <w:tc>
          <w:tcPr>
            <w:cnfStyle w:val="000010000000" w:firstRow="0" w:lastRow="0" w:firstColumn="0" w:lastColumn="0" w:oddVBand="1" w:evenVBand="0" w:oddHBand="0" w:evenHBand="0" w:firstRowFirstColumn="0" w:firstRowLastColumn="0" w:lastRowFirstColumn="0" w:lastRowLastColumn="0"/>
            <w:tcW w:w="0" w:type="auto"/>
          </w:tcPr>
          <w:p w14:paraId="782FCCC8" w14:textId="77777777" w:rsidR="00981D37" w:rsidRPr="007137ED" w:rsidRDefault="00981D37" w:rsidP="00AF5932">
            <w:pPr>
              <w:pStyle w:val="TableParagraph"/>
              <w:ind w:right="404"/>
              <w:jc w:val="both"/>
              <w:rPr>
                <w:rFonts w:asciiTheme="minorHAnsi" w:hAnsiTheme="minorHAnsi" w:cstheme="minorHAnsi"/>
                <w:b/>
              </w:rPr>
            </w:pPr>
            <w:r w:rsidRPr="007137ED">
              <w:rPr>
                <w:rFonts w:asciiTheme="minorHAnsi" w:hAnsiTheme="minorHAnsi" w:cstheme="minorHAnsi"/>
                <w:b/>
              </w:rPr>
              <w:t>OPS</w:t>
            </w:r>
          </w:p>
        </w:tc>
        <w:tc>
          <w:tcPr>
            <w:tcW w:w="0" w:type="auto"/>
          </w:tcPr>
          <w:p w14:paraId="5CD00738" w14:textId="77777777" w:rsidR="00981D37" w:rsidRPr="007137ED" w:rsidRDefault="00981D37" w:rsidP="00AF5932">
            <w:pPr>
              <w:pStyle w:val="TableParagraph"/>
              <w:ind w:left="371" w:right="37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7137ED">
              <w:rPr>
                <w:rFonts w:asciiTheme="minorHAnsi" w:hAnsiTheme="minorHAnsi" w:cstheme="minorHAnsi"/>
                <w:b/>
              </w:rPr>
              <w:t>AIR</w:t>
            </w:r>
          </w:p>
        </w:tc>
        <w:tc>
          <w:tcPr>
            <w:cnfStyle w:val="000010000000" w:firstRow="0" w:lastRow="0" w:firstColumn="0" w:lastColumn="0" w:oddVBand="1" w:evenVBand="0" w:oddHBand="0" w:evenHBand="0" w:firstRowFirstColumn="0" w:firstRowLastColumn="0" w:lastRowFirstColumn="0" w:lastRowLastColumn="0"/>
            <w:tcW w:w="0" w:type="auto"/>
          </w:tcPr>
          <w:p w14:paraId="33B1E535" w14:textId="77777777" w:rsidR="00981D37" w:rsidRPr="007137ED" w:rsidRDefault="00981D37" w:rsidP="00AF5932">
            <w:pPr>
              <w:pStyle w:val="TableParagraph"/>
              <w:ind w:right="435"/>
              <w:jc w:val="both"/>
              <w:rPr>
                <w:rFonts w:asciiTheme="minorHAnsi" w:hAnsiTheme="minorHAnsi" w:cstheme="minorHAnsi"/>
                <w:b/>
              </w:rPr>
            </w:pPr>
            <w:r w:rsidRPr="007137ED">
              <w:rPr>
                <w:rFonts w:asciiTheme="minorHAnsi" w:hAnsiTheme="minorHAnsi" w:cstheme="minorHAnsi"/>
                <w:b/>
              </w:rPr>
              <w:t>AIG</w:t>
            </w:r>
          </w:p>
        </w:tc>
        <w:tc>
          <w:tcPr>
            <w:tcW w:w="0" w:type="auto"/>
          </w:tcPr>
          <w:p w14:paraId="4AB2F161" w14:textId="77777777" w:rsidR="00981D37" w:rsidRPr="007137ED" w:rsidRDefault="00981D37" w:rsidP="00AF5932">
            <w:pPr>
              <w:pStyle w:val="TableParagraph"/>
              <w:ind w:right="407"/>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7137ED">
              <w:rPr>
                <w:rFonts w:asciiTheme="minorHAnsi" w:hAnsiTheme="minorHAnsi" w:cstheme="minorHAnsi"/>
                <w:b/>
              </w:rPr>
              <w:t>ANS</w:t>
            </w:r>
          </w:p>
        </w:tc>
        <w:tc>
          <w:tcPr>
            <w:cnfStyle w:val="000100000000" w:firstRow="0" w:lastRow="0" w:firstColumn="0" w:lastColumn="1" w:oddVBand="0" w:evenVBand="0" w:oddHBand="0" w:evenHBand="0" w:firstRowFirstColumn="0" w:firstRowLastColumn="0" w:lastRowFirstColumn="0" w:lastRowLastColumn="0"/>
            <w:tcW w:w="0" w:type="auto"/>
          </w:tcPr>
          <w:p w14:paraId="4DE2E8E2" w14:textId="77777777" w:rsidR="00981D37" w:rsidRPr="007137ED" w:rsidRDefault="00981D37" w:rsidP="00AF5932">
            <w:pPr>
              <w:pStyle w:val="TableParagraph"/>
              <w:ind w:right="396"/>
              <w:jc w:val="both"/>
              <w:rPr>
                <w:rFonts w:asciiTheme="minorHAnsi" w:hAnsiTheme="minorHAnsi" w:cstheme="minorHAnsi"/>
                <w:b w:val="0"/>
              </w:rPr>
            </w:pPr>
            <w:r w:rsidRPr="007137ED">
              <w:rPr>
                <w:rFonts w:asciiTheme="minorHAnsi" w:hAnsiTheme="minorHAnsi" w:cstheme="minorHAnsi"/>
              </w:rPr>
              <w:t>AGA</w:t>
            </w:r>
          </w:p>
        </w:tc>
      </w:tr>
      <w:tr w:rsidR="00981D37" w:rsidRPr="002E77C0" w14:paraId="6A7B0D30" w14:textId="77777777" w:rsidTr="006478DD">
        <w:trPr>
          <w:cnfStyle w:val="010000000000" w:firstRow="0" w:lastRow="1" w:firstColumn="0" w:lastColumn="0" w:oddVBand="0" w:evenVBand="0" w:oddHBand="0" w:evenHBand="0" w:firstRowFirstColumn="0" w:firstRowLastColumn="0" w:lastRowFirstColumn="0" w:lastRowLastColumn="0"/>
          <w:trHeight w:hRule="exact" w:val="486"/>
        </w:trPr>
        <w:tc>
          <w:tcPr>
            <w:cnfStyle w:val="001000000001" w:firstRow="0" w:lastRow="0" w:firstColumn="1" w:lastColumn="0" w:oddVBand="0" w:evenVBand="0" w:oddHBand="0" w:evenHBand="0" w:firstRowFirstColumn="0" w:firstRowLastColumn="0" w:lastRowFirstColumn="1" w:lastRowLastColumn="0"/>
            <w:tcW w:w="0" w:type="auto"/>
          </w:tcPr>
          <w:p w14:paraId="30C61B13" w14:textId="2239C0BB" w:rsidR="00981D37" w:rsidRPr="002E77C0" w:rsidRDefault="00981D37" w:rsidP="002E77C0">
            <w:pPr>
              <w:pStyle w:val="TableParagraph"/>
              <w:ind w:left="101"/>
              <w:jc w:val="center"/>
              <w:rPr>
                <w:rFonts w:asciiTheme="minorHAnsi" w:hAnsiTheme="minorHAnsi" w:cstheme="minorHAnsi"/>
                <w:b w:val="0"/>
                <w:bCs w:val="0"/>
              </w:rPr>
            </w:pPr>
            <w:r w:rsidRPr="002E77C0">
              <w:rPr>
                <w:rFonts w:asciiTheme="minorHAnsi" w:hAnsiTheme="minorHAnsi" w:cstheme="minorHAnsi"/>
                <w:b w:val="0"/>
                <w:bCs w:val="0"/>
              </w:rPr>
              <w:t>8</w:t>
            </w:r>
            <w:r w:rsidR="006478DD">
              <w:rPr>
                <w:rFonts w:asciiTheme="minorHAnsi" w:hAnsiTheme="minorHAnsi" w:cstheme="minorHAnsi"/>
                <w:b w:val="0"/>
                <w:bCs w:val="0"/>
              </w:rPr>
              <w:t>2</w:t>
            </w:r>
            <w:r w:rsidRPr="002E77C0">
              <w:rPr>
                <w:rFonts w:asciiTheme="minorHAnsi" w:hAnsiTheme="minorHAnsi" w:cstheme="minorHAnsi"/>
                <w:b w:val="0"/>
                <w:bCs w:val="0"/>
              </w:rPr>
              <w:t>.</w:t>
            </w:r>
            <w:r w:rsidR="006478DD">
              <w:rPr>
                <w:rFonts w:asciiTheme="minorHAnsi" w:hAnsiTheme="minorHAnsi" w:cstheme="minorHAnsi"/>
                <w:b w:val="0"/>
                <w:bCs w:val="0"/>
              </w:rPr>
              <w:t>93</w:t>
            </w:r>
            <w:r w:rsidRPr="002E77C0">
              <w:rPr>
                <w:rFonts w:asciiTheme="minorHAnsi" w:hAnsiTheme="minorHAnsi" w:cstheme="minorHAnsi"/>
                <w:b w:val="0"/>
                <w:bCs w:val="0"/>
              </w:rPr>
              <w:t>%</w:t>
            </w:r>
          </w:p>
        </w:tc>
        <w:tc>
          <w:tcPr>
            <w:cnfStyle w:val="000010000000" w:firstRow="0" w:lastRow="0" w:firstColumn="0" w:lastColumn="0" w:oddVBand="1" w:evenVBand="0" w:oddHBand="0" w:evenHBand="0" w:firstRowFirstColumn="0" w:firstRowLastColumn="0" w:lastRowFirstColumn="0" w:lastRowLastColumn="0"/>
            <w:tcW w:w="0" w:type="auto"/>
          </w:tcPr>
          <w:p w14:paraId="3B097887" w14:textId="0D0D1D78" w:rsidR="00981D37" w:rsidRPr="002E77C0" w:rsidRDefault="00981D37" w:rsidP="002E77C0">
            <w:pPr>
              <w:pStyle w:val="TableParagraph"/>
              <w:ind w:left="101"/>
              <w:jc w:val="center"/>
              <w:rPr>
                <w:rFonts w:asciiTheme="minorHAnsi" w:hAnsiTheme="minorHAnsi" w:cstheme="minorHAnsi"/>
                <w:b w:val="0"/>
                <w:bCs w:val="0"/>
              </w:rPr>
            </w:pPr>
            <w:r w:rsidRPr="002E77C0">
              <w:rPr>
                <w:rFonts w:asciiTheme="minorHAnsi" w:hAnsiTheme="minorHAnsi" w:cstheme="minorHAnsi"/>
                <w:b w:val="0"/>
                <w:bCs w:val="0"/>
              </w:rPr>
              <w:t>7</w:t>
            </w:r>
            <w:r w:rsidR="006478DD">
              <w:rPr>
                <w:rFonts w:asciiTheme="minorHAnsi" w:hAnsiTheme="minorHAnsi" w:cstheme="minorHAnsi"/>
                <w:b w:val="0"/>
                <w:bCs w:val="0"/>
              </w:rPr>
              <w:t>9</w:t>
            </w:r>
            <w:r w:rsidRPr="002E77C0">
              <w:rPr>
                <w:rFonts w:asciiTheme="minorHAnsi" w:hAnsiTheme="minorHAnsi" w:cstheme="minorHAnsi"/>
                <w:b w:val="0"/>
                <w:bCs w:val="0"/>
              </w:rPr>
              <w:t>.</w:t>
            </w:r>
            <w:r w:rsidR="006478DD">
              <w:rPr>
                <w:rFonts w:asciiTheme="minorHAnsi" w:hAnsiTheme="minorHAnsi" w:cstheme="minorHAnsi"/>
                <w:b w:val="0"/>
                <w:bCs w:val="0"/>
              </w:rPr>
              <w:t>27</w:t>
            </w:r>
            <w:r w:rsidRPr="002E77C0">
              <w:rPr>
                <w:rFonts w:asciiTheme="minorHAnsi" w:hAnsiTheme="minorHAnsi" w:cstheme="minorHAnsi"/>
                <w:b w:val="0"/>
                <w:bCs w:val="0"/>
              </w:rPr>
              <w:t>%</w:t>
            </w:r>
          </w:p>
        </w:tc>
        <w:tc>
          <w:tcPr>
            <w:tcW w:w="0" w:type="auto"/>
          </w:tcPr>
          <w:p w14:paraId="75619799" w14:textId="40A86501" w:rsidR="00981D37" w:rsidRPr="002E77C0" w:rsidRDefault="00981D37" w:rsidP="002E77C0">
            <w:pPr>
              <w:pStyle w:val="TableParagraph"/>
              <w:ind w:left="101"/>
              <w:jc w:val="center"/>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b w:val="0"/>
                <w:bCs w:val="0"/>
              </w:rPr>
            </w:pPr>
            <w:r w:rsidRPr="002E77C0">
              <w:rPr>
                <w:rFonts w:asciiTheme="minorHAnsi" w:hAnsiTheme="minorHAnsi" w:cstheme="minorHAnsi"/>
                <w:b w:val="0"/>
                <w:bCs w:val="0"/>
              </w:rPr>
              <w:t>8</w:t>
            </w:r>
            <w:r w:rsidR="006478DD">
              <w:rPr>
                <w:rFonts w:asciiTheme="minorHAnsi" w:hAnsiTheme="minorHAnsi" w:cstheme="minorHAnsi"/>
                <w:b w:val="0"/>
                <w:bCs w:val="0"/>
              </w:rPr>
              <w:t>3</w:t>
            </w:r>
            <w:r w:rsidRPr="002E77C0">
              <w:rPr>
                <w:rFonts w:asciiTheme="minorHAnsi" w:hAnsiTheme="minorHAnsi" w:cstheme="minorHAnsi"/>
                <w:b w:val="0"/>
                <w:bCs w:val="0"/>
              </w:rPr>
              <w:t>.</w:t>
            </w:r>
            <w:r w:rsidR="006478DD">
              <w:rPr>
                <w:rFonts w:asciiTheme="minorHAnsi" w:hAnsiTheme="minorHAnsi" w:cstheme="minorHAnsi"/>
                <w:b w:val="0"/>
                <w:bCs w:val="0"/>
              </w:rPr>
              <w:t>14</w:t>
            </w:r>
            <w:r w:rsidRPr="002E77C0">
              <w:rPr>
                <w:rFonts w:asciiTheme="minorHAnsi" w:hAnsiTheme="minorHAnsi" w:cstheme="minorHAnsi"/>
                <w:b w:val="0"/>
                <w:bCs w:val="0"/>
              </w:rPr>
              <w:t>%</w:t>
            </w:r>
          </w:p>
        </w:tc>
        <w:tc>
          <w:tcPr>
            <w:cnfStyle w:val="000010000000" w:firstRow="0" w:lastRow="0" w:firstColumn="0" w:lastColumn="0" w:oddVBand="1" w:evenVBand="0" w:oddHBand="0" w:evenHBand="0" w:firstRowFirstColumn="0" w:firstRowLastColumn="0" w:lastRowFirstColumn="0" w:lastRowLastColumn="0"/>
            <w:tcW w:w="0" w:type="auto"/>
          </w:tcPr>
          <w:p w14:paraId="3C01D081" w14:textId="77777777" w:rsidR="00981D37" w:rsidRPr="002E77C0" w:rsidRDefault="00981D37" w:rsidP="002E77C0">
            <w:pPr>
              <w:pStyle w:val="TableParagraph"/>
              <w:ind w:left="101"/>
              <w:jc w:val="center"/>
              <w:rPr>
                <w:rFonts w:asciiTheme="minorHAnsi" w:hAnsiTheme="minorHAnsi" w:cstheme="minorHAnsi"/>
                <w:b w:val="0"/>
                <w:bCs w:val="0"/>
              </w:rPr>
            </w:pPr>
            <w:r w:rsidRPr="002E77C0">
              <w:rPr>
                <w:rFonts w:asciiTheme="minorHAnsi" w:hAnsiTheme="minorHAnsi" w:cstheme="minorHAnsi"/>
                <w:b w:val="0"/>
                <w:bCs w:val="0"/>
              </w:rPr>
              <w:t>78.49%</w:t>
            </w:r>
          </w:p>
        </w:tc>
        <w:tc>
          <w:tcPr>
            <w:tcW w:w="0" w:type="auto"/>
          </w:tcPr>
          <w:p w14:paraId="2CA8AB86" w14:textId="73B96F09" w:rsidR="00981D37" w:rsidRPr="002E77C0" w:rsidRDefault="00981D37" w:rsidP="002E77C0">
            <w:pPr>
              <w:pStyle w:val="TableParagraph"/>
              <w:ind w:left="101"/>
              <w:jc w:val="center"/>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b w:val="0"/>
                <w:bCs w:val="0"/>
              </w:rPr>
            </w:pPr>
            <w:r w:rsidRPr="002E77C0">
              <w:rPr>
                <w:rFonts w:asciiTheme="minorHAnsi" w:hAnsiTheme="minorHAnsi" w:cstheme="minorHAnsi"/>
                <w:b w:val="0"/>
                <w:bCs w:val="0"/>
              </w:rPr>
              <w:t>86.</w:t>
            </w:r>
            <w:r w:rsidR="006478DD">
              <w:rPr>
                <w:rFonts w:asciiTheme="minorHAnsi" w:hAnsiTheme="minorHAnsi" w:cstheme="minorHAnsi"/>
                <w:b w:val="0"/>
                <w:bCs w:val="0"/>
              </w:rPr>
              <w:t>8</w:t>
            </w:r>
            <w:r w:rsidRPr="002E77C0">
              <w:rPr>
                <w:rFonts w:asciiTheme="minorHAnsi" w:hAnsiTheme="minorHAnsi" w:cstheme="minorHAnsi"/>
                <w:b w:val="0"/>
                <w:bCs w:val="0"/>
              </w:rPr>
              <w:t>6%</w:t>
            </w:r>
          </w:p>
        </w:tc>
        <w:tc>
          <w:tcPr>
            <w:cnfStyle w:val="000010000000" w:firstRow="0" w:lastRow="0" w:firstColumn="0" w:lastColumn="0" w:oddVBand="1" w:evenVBand="0" w:oddHBand="0" w:evenHBand="0" w:firstRowFirstColumn="0" w:firstRowLastColumn="0" w:lastRowFirstColumn="0" w:lastRowLastColumn="0"/>
            <w:tcW w:w="0" w:type="auto"/>
          </w:tcPr>
          <w:p w14:paraId="5DC8F22B" w14:textId="02624863" w:rsidR="00981D37" w:rsidRPr="002E77C0" w:rsidRDefault="00981D37" w:rsidP="002E77C0">
            <w:pPr>
              <w:pStyle w:val="TableParagraph"/>
              <w:ind w:left="101"/>
              <w:jc w:val="center"/>
              <w:rPr>
                <w:rFonts w:asciiTheme="minorHAnsi" w:hAnsiTheme="minorHAnsi" w:cstheme="minorHAnsi"/>
                <w:b w:val="0"/>
                <w:bCs w:val="0"/>
              </w:rPr>
            </w:pPr>
            <w:r w:rsidRPr="002E77C0">
              <w:rPr>
                <w:rFonts w:asciiTheme="minorHAnsi" w:hAnsiTheme="minorHAnsi" w:cstheme="minorHAnsi"/>
                <w:b w:val="0"/>
                <w:bCs w:val="0"/>
              </w:rPr>
              <w:t>6</w:t>
            </w:r>
            <w:r w:rsidR="006478DD">
              <w:rPr>
                <w:rFonts w:asciiTheme="minorHAnsi" w:hAnsiTheme="minorHAnsi" w:cstheme="minorHAnsi"/>
                <w:b w:val="0"/>
                <w:bCs w:val="0"/>
              </w:rPr>
              <w:t>5</w:t>
            </w:r>
            <w:r w:rsidRPr="002E77C0">
              <w:rPr>
                <w:rFonts w:asciiTheme="minorHAnsi" w:hAnsiTheme="minorHAnsi" w:cstheme="minorHAnsi"/>
                <w:b w:val="0"/>
                <w:bCs w:val="0"/>
              </w:rPr>
              <w:t>.</w:t>
            </w:r>
            <w:r w:rsidR="006478DD">
              <w:rPr>
                <w:rFonts w:asciiTheme="minorHAnsi" w:hAnsiTheme="minorHAnsi" w:cstheme="minorHAnsi"/>
                <w:b w:val="0"/>
                <w:bCs w:val="0"/>
              </w:rPr>
              <w:t>22</w:t>
            </w:r>
            <w:r w:rsidRPr="002E77C0">
              <w:rPr>
                <w:rFonts w:asciiTheme="minorHAnsi" w:hAnsiTheme="minorHAnsi" w:cstheme="minorHAnsi"/>
                <w:b w:val="0"/>
                <w:bCs w:val="0"/>
              </w:rPr>
              <w:t>%</w:t>
            </w:r>
          </w:p>
        </w:tc>
        <w:tc>
          <w:tcPr>
            <w:tcW w:w="0" w:type="auto"/>
          </w:tcPr>
          <w:p w14:paraId="00FF4832" w14:textId="3A76ED66" w:rsidR="00981D37" w:rsidRPr="002E77C0" w:rsidRDefault="00981D37" w:rsidP="002E77C0">
            <w:pPr>
              <w:pStyle w:val="TableParagraph"/>
              <w:ind w:left="101"/>
              <w:jc w:val="center"/>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b w:val="0"/>
                <w:bCs w:val="0"/>
              </w:rPr>
            </w:pPr>
            <w:r w:rsidRPr="002E77C0">
              <w:rPr>
                <w:rFonts w:asciiTheme="minorHAnsi" w:hAnsiTheme="minorHAnsi" w:cstheme="minorHAnsi"/>
                <w:b w:val="0"/>
                <w:bCs w:val="0"/>
              </w:rPr>
              <w:t>7</w:t>
            </w:r>
            <w:r w:rsidR="006478DD">
              <w:rPr>
                <w:rFonts w:asciiTheme="minorHAnsi" w:hAnsiTheme="minorHAnsi" w:cstheme="minorHAnsi"/>
                <w:b w:val="0"/>
                <w:bCs w:val="0"/>
              </w:rPr>
              <w:t>5</w:t>
            </w:r>
            <w:r w:rsidRPr="002E77C0">
              <w:rPr>
                <w:rFonts w:asciiTheme="minorHAnsi" w:hAnsiTheme="minorHAnsi" w:cstheme="minorHAnsi"/>
                <w:b w:val="0"/>
                <w:bCs w:val="0"/>
              </w:rPr>
              <w:t>%</w:t>
            </w:r>
          </w:p>
        </w:tc>
        <w:tc>
          <w:tcPr>
            <w:cnfStyle w:val="000100000010" w:firstRow="0" w:lastRow="0" w:firstColumn="0" w:lastColumn="1" w:oddVBand="0" w:evenVBand="0" w:oddHBand="0" w:evenHBand="0" w:firstRowFirstColumn="0" w:firstRowLastColumn="0" w:lastRowFirstColumn="0" w:lastRowLastColumn="1"/>
            <w:tcW w:w="0" w:type="auto"/>
          </w:tcPr>
          <w:p w14:paraId="5C816135" w14:textId="19FD3E4A" w:rsidR="00981D37" w:rsidRPr="002E77C0" w:rsidRDefault="00981D37" w:rsidP="002E77C0">
            <w:pPr>
              <w:pStyle w:val="TableParagraph"/>
              <w:ind w:left="101"/>
              <w:jc w:val="center"/>
              <w:rPr>
                <w:rFonts w:asciiTheme="minorHAnsi" w:hAnsiTheme="minorHAnsi" w:cstheme="minorHAnsi"/>
                <w:b w:val="0"/>
                <w:bCs w:val="0"/>
              </w:rPr>
            </w:pPr>
            <w:r w:rsidRPr="002E77C0">
              <w:rPr>
                <w:rFonts w:asciiTheme="minorHAnsi" w:hAnsiTheme="minorHAnsi" w:cstheme="minorHAnsi"/>
                <w:b w:val="0"/>
                <w:bCs w:val="0"/>
              </w:rPr>
              <w:t>73.</w:t>
            </w:r>
            <w:r w:rsidR="006478DD">
              <w:rPr>
                <w:rFonts w:asciiTheme="minorHAnsi" w:hAnsiTheme="minorHAnsi" w:cstheme="minorHAnsi"/>
                <w:b w:val="0"/>
                <w:bCs w:val="0"/>
              </w:rPr>
              <w:t>78</w:t>
            </w:r>
            <w:r w:rsidRPr="002E77C0">
              <w:rPr>
                <w:rFonts w:asciiTheme="minorHAnsi" w:hAnsiTheme="minorHAnsi" w:cstheme="minorHAnsi"/>
                <w:b w:val="0"/>
                <w:bCs w:val="0"/>
              </w:rPr>
              <w:t>%</w:t>
            </w:r>
          </w:p>
        </w:tc>
      </w:tr>
    </w:tbl>
    <w:p w14:paraId="0DB5D510" w14:textId="77777777" w:rsidR="00981D37" w:rsidRPr="00981D37" w:rsidRDefault="00981D37" w:rsidP="00981D37">
      <w:pPr>
        <w:jc w:val="both"/>
        <w:rPr>
          <w:rFonts w:asciiTheme="minorHAnsi" w:hAnsiTheme="minorHAnsi" w:cstheme="minorHAnsi"/>
          <w:sz w:val="22"/>
          <w:szCs w:val="28"/>
          <w:lang w:val="en-US"/>
        </w:rPr>
      </w:pPr>
    </w:p>
    <w:p w14:paraId="13BB8C80" w14:textId="0581582C" w:rsidR="00981D37" w:rsidRPr="00E13951" w:rsidRDefault="00981D37" w:rsidP="00E13951">
      <w:pPr>
        <w:pStyle w:val="Standardtext"/>
      </w:pPr>
      <w:r w:rsidRPr="00E13951">
        <w:t xml:space="preserve">To identify systemic issues, considered to be regional organizational challenges, RESG conducted an analysis, guided by the criteria defined in the Standardized Framework for the Identification of ORG Challenges (refer to Doc 10131, 3rd Edition). These criteria include but are not limited to aggregated status of States’ safety oversight systems and capabilities at the global level; consideration of regional organizational challenges in setting global ones; and State </w:t>
      </w:r>
      <w:r w:rsidR="00F84218">
        <w:t>S</w:t>
      </w:r>
      <w:r w:rsidR="00F84218" w:rsidRPr="00E13951">
        <w:t xml:space="preserve">afety </w:t>
      </w:r>
      <w:r w:rsidR="00F84218">
        <w:t>P</w:t>
      </w:r>
      <w:r w:rsidR="00F84218" w:rsidRPr="00E13951">
        <w:t xml:space="preserve">rogramme </w:t>
      </w:r>
      <w:r w:rsidRPr="00E13951">
        <w:t>(SSP) implementation and maintenance.</w:t>
      </w:r>
    </w:p>
    <w:p w14:paraId="1D09BB22" w14:textId="77777777" w:rsidR="00981D37" w:rsidRPr="00E13951" w:rsidRDefault="00981D37" w:rsidP="00E13951">
      <w:pPr>
        <w:pStyle w:val="Standardtext"/>
      </w:pPr>
      <w:r w:rsidRPr="00E13951">
        <w:t xml:space="preserve">Information generated by the USOAP CMA OLF was used as the primary source for the analysis. Among the main points analysed were: </w:t>
      </w:r>
    </w:p>
    <w:p w14:paraId="195CB669" w14:textId="77777777" w:rsidR="00981D37" w:rsidRPr="00981D37" w:rsidRDefault="00981D37">
      <w:pPr>
        <w:pStyle w:val="ListParagraph"/>
        <w:numPr>
          <w:ilvl w:val="0"/>
          <w:numId w:val="25"/>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the five lowest scoring global PPQs by AA and CE combination, based on a consolidated global “Heat Map</w:t>
      </w:r>
      <w:proofErr w:type="gramStart"/>
      <w:r w:rsidRPr="00981D37">
        <w:rPr>
          <w:rFonts w:asciiTheme="minorHAnsi" w:hAnsiTheme="minorHAnsi" w:cstheme="minorHAnsi"/>
          <w:sz w:val="22"/>
          <w:szCs w:val="28"/>
          <w:lang w:val="en-US"/>
        </w:rPr>
        <w:t>”;</w:t>
      </w:r>
      <w:proofErr w:type="gramEnd"/>
      <w:r w:rsidRPr="00981D37">
        <w:rPr>
          <w:rFonts w:asciiTheme="minorHAnsi" w:hAnsiTheme="minorHAnsi" w:cstheme="minorHAnsi"/>
          <w:sz w:val="22"/>
          <w:szCs w:val="28"/>
          <w:lang w:val="en-US"/>
        </w:rPr>
        <w:t xml:space="preserve"> </w:t>
      </w:r>
    </w:p>
    <w:p w14:paraId="14CE9052" w14:textId="77777777" w:rsidR="00981D37" w:rsidRPr="00981D37" w:rsidRDefault="00981D37">
      <w:pPr>
        <w:pStyle w:val="ListParagraph"/>
        <w:numPr>
          <w:ilvl w:val="0"/>
          <w:numId w:val="25"/>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 xml:space="preserve">PQs used to assess the civil aviation organization &amp; state system and functions (ORG/CE-3) at the regional </w:t>
      </w:r>
      <w:proofErr w:type="gramStart"/>
      <w:r w:rsidRPr="00981D37">
        <w:rPr>
          <w:rFonts w:asciiTheme="minorHAnsi" w:hAnsiTheme="minorHAnsi" w:cstheme="minorHAnsi"/>
          <w:sz w:val="22"/>
          <w:szCs w:val="28"/>
          <w:lang w:val="en-US"/>
        </w:rPr>
        <w:t>level;</w:t>
      </w:r>
      <w:proofErr w:type="gramEnd"/>
      <w:r w:rsidRPr="00981D37">
        <w:rPr>
          <w:rFonts w:asciiTheme="minorHAnsi" w:hAnsiTheme="minorHAnsi" w:cstheme="minorHAnsi"/>
          <w:sz w:val="22"/>
          <w:szCs w:val="28"/>
          <w:lang w:val="en-US"/>
        </w:rPr>
        <w:t xml:space="preserve"> </w:t>
      </w:r>
    </w:p>
    <w:p w14:paraId="538359C7" w14:textId="77777777" w:rsidR="00981D37" w:rsidRPr="00981D37" w:rsidRDefault="00981D37">
      <w:pPr>
        <w:pStyle w:val="ListParagraph"/>
        <w:numPr>
          <w:ilvl w:val="0"/>
          <w:numId w:val="25"/>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 xml:space="preserve">the lowest scoring regional PPQ; and </w:t>
      </w:r>
    </w:p>
    <w:p w14:paraId="711805C6" w14:textId="77777777" w:rsidR="00981D37" w:rsidRPr="00981D37" w:rsidRDefault="00981D37">
      <w:pPr>
        <w:pStyle w:val="ListParagraph"/>
        <w:numPr>
          <w:ilvl w:val="0"/>
          <w:numId w:val="25"/>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results from EUR RASP Implementation Surveys.</w:t>
      </w:r>
    </w:p>
    <w:p w14:paraId="41A27F01" w14:textId="77777777" w:rsidR="00981D37" w:rsidRPr="00981D37" w:rsidRDefault="00981D37" w:rsidP="00637595">
      <w:pPr>
        <w:pStyle w:val="Standardtext"/>
      </w:pPr>
      <w:r w:rsidRPr="00981D37">
        <w:t>The main findings from the analysis included the following:</w:t>
      </w:r>
    </w:p>
    <w:p w14:paraId="11EF2FCB" w14:textId="77777777" w:rsidR="00981D37" w:rsidRPr="00981D37" w:rsidRDefault="00981D37">
      <w:pPr>
        <w:pStyle w:val="ListParagraph"/>
        <w:numPr>
          <w:ilvl w:val="0"/>
          <w:numId w:val="26"/>
        </w:numPr>
        <w:spacing w:after="345" w:line="300" w:lineRule="auto"/>
        <w:jc w:val="both"/>
        <w:rPr>
          <w:rFonts w:asciiTheme="minorHAnsi" w:hAnsiTheme="minorHAnsi" w:cstheme="minorHAnsi"/>
          <w:sz w:val="22"/>
          <w:szCs w:val="28"/>
          <w:lang w:val="en-US"/>
        </w:rPr>
      </w:pPr>
      <w:proofErr w:type="gramStart"/>
      <w:r w:rsidRPr="00981D37">
        <w:rPr>
          <w:rFonts w:asciiTheme="minorHAnsi" w:hAnsiTheme="minorHAnsi" w:cstheme="minorHAnsi"/>
          <w:sz w:val="22"/>
          <w:szCs w:val="28"/>
          <w:lang w:val="en-US"/>
        </w:rPr>
        <w:t>the</w:t>
      </w:r>
      <w:proofErr w:type="gramEnd"/>
      <w:r w:rsidRPr="00981D37">
        <w:rPr>
          <w:rFonts w:asciiTheme="minorHAnsi" w:hAnsiTheme="minorHAnsi" w:cstheme="minorHAnsi"/>
          <w:sz w:val="22"/>
          <w:szCs w:val="28"/>
          <w:lang w:val="en-US"/>
        </w:rPr>
        <w:t xml:space="preserve"> five lowest scoring global PPQs by AA and CE combination (in ascending order) were:</w:t>
      </w:r>
    </w:p>
    <w:p w14:paraId="20093DD7" w14:textId="77777777" w:rsidR="00981D37" w:rsidRPr="00981D37" w:rsidRDefault="00981D37">
      <w:pPr>
        <w:pStyle w:val="ListParagraph"/>
        <w:numPr>
          <w:ilvl w:val="1"/>
          <w:numId w:val="27"/>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aircraft accident and incident investigation &amp; qualified technical personnel (AIG/CE-4</w:t>
      </w:r>
      <w:proofErr w:type="gramStart"/>
      <w:r w:rsidRPr="00981D37">
        <w:rPr>
          <w:rFonts w:asciiTheme="minorHAnsi" w:hAnsiTheme="minorHAnsi" w:cstheme="minorHAnsi"/>
          <w:sz w:val="22"/>
          <w:szCs w:val="28"/>
          <w:lang w:val="en-US"/>
        </w:rPr>
        <w:t>);</w:t>
      </w:r>
      <w:proofErr w:type="gramEnd"/>
    </w:p>
    <w:p w14:paraId="1D961256" w14:textId="77777777" w:rsidR="00981D37" w:rsidRPr="00981D37" w:rsidRDefault="00981D37">
      <w:pPr>
        <w:pStyle w:val="ListParagraph"/>
        <w:numPr>
          <w:ilvl w:val="1"/>
          <w:numId w:val="27"/>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aerodromes and ground aids &amp; qualified technical personnel (AGA/CE-4</w:t>
      </w:r>
      <w:proofErr w:type="gramStart"/>
      <w:r w:rsidRPr="00981D37">
        <w:rPr>
          <w:rFonts w:asciiTheme="minorHAnsi" w:hAnsiTheme="minorHAnsi" w:cstheme="minorHAnsi"/>
          <w:sz w:val="22"/>
          <w:szCs w:val="28"/>
          <w:lang w:val="en-US"/>
        </w:rPr>
        <w:t>);</w:t>
      </w:r>
      <w:proofErr w:type="gramEnd"/>
    </w:p>
    <w:p w14:paraId="214A2DAF" w14:textId="3C023D3E" w:rsidR="00981D37" w:rsidRPr="00981D37" w:rsidRDefault="00981D37">
      <w:pPr>
        <w:pStyle w:val="ListParagraph"/>
        <w:numPr>
          <w:ilvl w:val="1"/>
          <w:numId w:val="27"/>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 xml:space="preserve">personnel licensing and training &amp; state system and functions (PEL/CE-3) – related to organization, staffing and </w:t>
      </w:r>
      <w:proofErr w:type="gramStart"/>
      <w:r w:rsidRPr="00981D37">
        <w:rPr>
          <w:rFonts w:asciiTheme="minorHAnsi" w:hAnsiTheme="minorHAnsi" w:cstheme="minorHAnsi"/>
          <w:sz w:val="22"/>
          <w:szCs w:val="28"/>
          <w:lang w:val="en-US"/>
        </w:rPr>
        <w:t>training</w:t>
      </w:r>
      <w:r w:rsidR="00F84218">
        <w:rPr>
          <w:rFonts w:asciiTheme="minorHAnsi" w:hAnsiTheme="minorHAnsi" w:cstheme="minorHAnsi"/>
          <w:sz w:val="22"/>
          <w:szCs w:val="28"/>
          <w:lang w:val="en-US"/>
        </w:rPr>
        <w:t>;</w:t>
      </w:r>
      <w:proofErr w:type="gramEnd"/>
    </w:p>
    <w:p w14:paraId="35C74E25" w14:textId="77777777" w:rsidR="00981D37" w:rsidRPr="00981D37" w:rsidRDefault="00981D37">
      <w:pPr>
        <w:pStyle w:val="ListParagraph"/>
        <w:numPr>
          <w:ilvl w:val="1"/>
          <w:numId w:val="27"/>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aircraft operations &amp; surveillance obligations (OPS/CE-7) – in the areas of dangerous goods and risk-based oversight of foreign air operators; and</w:t>
      </w:r>
    </w:p>
    <w:p w14:paraId="3A0DA46E" w14:textId="77777777" w:rsidR="00981D37" w:rsidRPr="00981D37" w:rsidRDefault="00981D37">
      <w:pPr>
        <w:pStyle w:val="ListParagraph"/>
        <w:numPr>
          <w:ilvl w:val="1"/>
          <w:numId w:val="27"/>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 xml:space="preserve">aircraft operations &amp; state system and functions (OPS/CE-3) – related to organization, staffing and training. </w:t>
      </w:r>
    </w:p>
    <w:p w14:paraId="74E41E25" w14:textId="347134F2" w:rsidR="00F84218" w:rsidRPr="00AE0BA9" w:rsidRDefault="00AE0BA9" w:rsidP="00AE0BA9">
      <w:pPr>
        <w:spacing w:after="345" w:line="300" w:lineRule="auto"/>
        <w:rPr>
          <w:rFonts w:asciiTheme="minorHAnsi" w:hAnsiTheme="minorHAnsi" w:cstheme="minorHAnsi"/>
          <w:sz w:val="22"/>
          <w:szCs w:val="28"/>
        </w:rPr>
      </w:pPr>
      <w:r w:rsidRPr="00AE0BA9">
        <w:rPr>
          <w:rFonts w:asciiTheme="minorHAnsi" w:hAnsiTheme="minorHAnsi" w:cstheme="minorHAnsi"/>
          <w:noProof/>
          <w:sz w:val="22"/>
          <w:szCs w:val="28"/>
        </w:rPr>
        <w:lastRenderedPageBreak/>
        <w:drawing>
          <wp:inline distT="0" distB="0" distL="0" distR="0" wp14:anchorId="7608FC81" wp14:editId="11B97949">
            <wp:extent cx="6120130" cy="2309495"/>
            <wp:effectExtent l="0" t="0" r="0" b="0"/>
            <wp:docPr id="1665383091"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383091" name="Picture 1" descr="A screenshot of a graph&#10;&#10;AI-generated content may be incorrect."/>
                    <pic:cNvPicPr/>
                  </pic:nvPicPr>
                  <pic:blipFill>
                    <a:blip r:embed="rId27"/>
                    <a:stretch>
                      <a:fillRect/>
                    </a:stretch>
                  </pic:blipFill>
                  <pic:spPr>
                    <a:xfrm>
                      <a:off x="0" y="0"/>
                      <a:ext cx="6120130" cy="2309495"/>
                    </a:xfrm>
                    <a:prstGeom prst="rect">
                      <a:avLst/>
                    </a:prstGeom>
                  </pic:spPr>
                </pic:pic>
              </a:graphicData>
            </a:graphic>
          </wp:inline>
        </w:drawing>
      </w:r>
    </w:p>
    <w:p w14:paraId="4EB497C1" w14:textId="1951DEFC" w:rsidR="00981D37" w:rsidRPr="00981D37" w:rsidRDefault="00981D37">
      <w:pPr>
        <w:pStyle w:val="ListParagraph"/>
        <w:numPr>
          <w:ilvl w:val="0"/>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for PQs used to assess ORG/CE-3:</w:t>
      </w:r>
    </w:p>
    <w:p w14:paraId="012E962B" w14:textId="0F86A7CF" w:rsidR="00981D37" w:rsidRPr="00981D37" w:rsidRDefault="00981D37">
      <w:pPr>
        <w:pStyle w:val="ListParagraph"/>
        <w:numPr>
          <w:ilvl w:val="1"/>
          <w:numId w:val="28"/>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 xml:space="preserve">PQ 2.053, looks at the establishment of a mechanism by the State to ensure that each safety oversight authority has sufficient personnel to meet its national and international obligations – The regional score was </w:t>
      </w:r>
      <w:proofErr w:type="gramStart"/>
      <w:r w:rsidRPr="00981D37">
        <w:rPr>
          <w:rFonts w:asciiTheme="minorHAnsi" w:hAnsiTheme="minorHAnsi" w:cstheme="minorHAnsi"/>
          <w:sz w:val="22"/>
          <w:szCs w:val="28"/>
        </w:rPr>
        <w:t>5</w:t>
      </w:r>
      <w:r w:rsidR="00AE0BA9">
        <w:rPr>
          <w:rFonts w:asciiTheme="minorHAnsi" w:hAnsiTheme="minorHAnsi" w:cstheme="minorHAnsi"/>
          <w:sz w:val="22"/>
          <w:szCs w:val="28"/>
        </w:rPr>
        <w:t>4</w:t>
      </w:r>
      <w:r w:rsidRPr="00981D37">
        <w:rPr>
          <w:rFonts w:asciiTheme="minorHAnsi" w:hAnsiTheme="minorHAnsi" w:cstheme="minorHAnsi"/>
          <w:sz w:val="22"/>
          <w:szCs w:val="28"/>
        </w:rPr>
        <w:t>.</w:t>
      </w:r>
      <w:r w:rsidR="00AE0BA9">
        <w:rPr>
          <w:rFonts w:asciiTheme="minorHAnsi" w:hAnsiTheme="minorHAnsi" w:cstheme="minorHAnsi"/>
          <w:sz w:val="22"/>
          <w:szCs w:val="28"/>
        </w:rPr>
        <w:t>55</w:t>
      </w:r>
      <w:r w:rsidRPr="00981D37">
        <w:rPr>
          <w:rFonts w:asciiTheme="minorHAnsi" w:hAnsiTheme="minorHAnsi" w:cstheme="minorHAnsi"/>
          <w:sz w:val="22"/>
          <w:szCs w:val="28"/>
        </w:rPr>
        <w:t>%;</w:t>
      </w:r>
      <w:proofErr w:type="gramEnd"/>
      <w:r w:rsidRPr="00981D37">
        <w:rPr>
          <w:rFonts w:asciiTheme="minorHAnsi" w:hAnsiTheme="minorHAnsi" w:cstheme="minorHAnsi"/>
          <w:sz w:val="22"/>
          <w:szCs w:val="28"/>
        </w:rPr>
        <w:t xml:space="preserve"> </w:t>
      </w:r>
    </w:p>
    <w:p w14:paraId="734394EF" w14:textId="16EBE937" w:rsidR="00981D37" w:rsidRPr="00981D37" w:rsidRDefault="00981D37">
      <w:pPr>
        <w:pStyle w:val="ListParagraph"/>
        <w:numPr>
          <w:ilvl w:val="1"/>
          <w:numId w:val="28"/>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PQ 2.103, focuses on each safety oversight entity/investigation authority’s ability to attract, recruit, and retain sufficiently qualified/experienced technical personnel – The regional score was 5</w:t>
      </w:r>
      <w:r w:rsidR="00AE0BA9">
        <w:rPr>
          <w:rFonts w:asciiTheme="minorHAnsi" w:hAnsiTheme="minorHAnsi" w:cstheme="minorHAnsi"/>
          <w:sz w:val="22"/>
          <w:szCs w:val="28"/>
        </w:rPr>
        <w:t>6</w:t>
      </w:r>
      <w:r w:rsidRPr="00981D37">
        <w:rPr>
          <w:rFonts w:asciiTheme="minorHAnsi" w:hAnsiTheme="minorHAnsi" w:cstheme="minorHAnsi"/>
          <w:sz w:val="22"/>
          <w:szCs w:val="28"/>
        </w:rPr>
        <w:t>.</w:t>
      </w:r>
      <w:r w:rsidR="00AE0BA9">
        <w:rPr>
          <w:rFonts w:asciiTheme="minorHAnsi" w:hAnsiTheme="minorHAnsi" w:cstheme="minorHAnsi"/>
          <w:sz w:val="22"/>
          <w:szCs w:val="28"/>
        </w:rPr>
        <w:t>36</w:t>
      </w:r>
      <w:r w:rsidRPr="00981D37">
        <w:rPr>
          <w:rFonts w:asciiTheme="minorHAnsi" w:hAnsiTheme="minorHAnsi" w:cstheme="minorHAnsi"/>
          <w:sz w:val="22"/>
          <w:szCs w:val="28"/>
        </w:rPr>
        <w:t>%; and</w:t>
      </w:r>
    </w:p>
    <w:p w14:paraId="02B58034" w14:textId="3184EEB1" w:rsidR="00981D37" w:rsidRPr="00981D37" w:rsidRDefault="00981D37">
      <w:pPr>
        <w:pStyle w:val="ListParagraph"/>
        <w:numPr>
          <w:ilvl w:val="1"/>
          <w:numId w:val="28"/>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 xml:space="preserve">PQ 2.011 (the only PPQ in the list), focuses on clear definition of the functions and responsibilities of each authority with functions related to safety oversight or aircraft accident and incident investigation - The regional score was </w:t>
      </w:r>
      <w:proofErr w:type="gramStart"/>
      <w:r w:rsidRPr="00981D37">
        <w:rPr>
          <w:rFonts w:asciiTheme="minorHAnsi" w:hAnsiTheme="minorHAnsi" w:cstheme="minorHAnsi"/>
          <w:sz w:val="22"/>
          <w:szCs w:val="28"/>
        </w:rPr>
        <w:t>7</w:t>
      </w:r>
      <w:r w:rsidR="009323CD">
        <w:rPr>
          <w:rFonts w:asciiTheme="minorHAnsi" w:hAnsiTheme="minorHAnsi" w:cstheme="minorHAnsi"/>
          <w:sz w:val="22"/>
          <w:szCs w:val="28"/>
        </w:rPr>
        <w:t>6</w:t>
      </w:r>
      <w:r w:rsidRPr="00981D37">
        <w:rPr>
          <w:rFonts w:asciiTheme="minorHAnsi" w:hAnsiTheme="minorHAnsi" w:cstheme="minorHAnsi"/>
          <w:sz w:val="22"/>
          <w:szCs w:val="28"/>
        </w:rPr>
        <w:t>.</w:t>
      </w:r>
      <w:r w:rsidR="009323CD">
        <w:rPr>
          <w:rFonts w:asciiTheme="minorHAnsi" w:hAnsiTheme="minorHAnsi" w:cstheme="minorHAnsi"/>
          <w:sz w:val="22"/>
          <w:szCs w:val="28"/>
        </w:rPr>
        <w:t>36</w:t>
      </w:r>
      <w:r w:rsidRPr="00981D37">
        <w:rPr>
          <w:rFonts w:asciiTheme="minorHAnsi" w:hAnsiTheme="minorHAnsi" w:cstheme="minorHAnsi"/>
          <w:sz w:val="22"/>
          <w:szCs w:val="28"/>
        </w:rPr>
        <w:t>%;</w:t>
      </w:r>
      <w:proofErr w:type="gramEnd"/>
    </w:p>
    <w:p w14:paraId="0803EEC9" w14:textId="77777777" w:rsidR="00981D37" w:rsidRPr="00981D37" w:rsidRDefault="00981D37">
      <w:pPr>
        <w:pStyle w:val="ListParagraph"/>
        <w:numPr>
          <w:ilvl w:val="0"/>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the lowest scoring regional PPQ was under the AA and CE combination of primary aviation legislation and civil aviation regulations &amp; specific operating regulations (LEG/CE-2): PQ 1.205, looks at the establishment and implementation of a process by the State to ensure the identification and publication in the State’s aeronautical information publication (AIP) of significant differences between the SARPs/Procedures for Air Navigation Services (PANS)/Regional Supplementary Procedures (SUPPS) and the State’s regulations and practices – related specifically to AIP;</w:t>
      </w:r>
    </w:p>
    <w:p w14:paraId="19EC48BA" w14:textId="77777777" w:rsidR="00981D37" w:rsidRPr="00981D37" w:rsidRDefault="00981D37">
      <w:pPr>
        <w:pStyle w:val="ListParagraph"/>
        <w:numPr>
          <w:ilvl w:val="0"/>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top 3 organizational challenges reported in EUR RASP Implementation Surveys:</w:t>
      </w:r>
    </w:p>
    <w:p w14:paraId="18AEB86B" w14:textId="77777777" w:rsidR="00981D37" w:rsidRPr="00981D37" w:rsidRDefault="00981D37">
      <w:pPr>
        <w:pStyle w:val="ListParagraph"/>
        <w:numPr>
          <w:ilvl w:val="1"/>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Lengthy legislative processes</w:t>
      </w:r>
    </w:p>
    <w:p w14:paraId="01E59596" w14:textId="77777777" w:rsidR="00981D37" w:rsidRPr="00981D37" w:rsidRDefault="00981D37">
      <w:pPr>
        <w:pStyle w:val="ListParagraph"/>
        <w:numPr>
          <w:ilvl w:val="1"/>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Insufficient number of experienced staff in the authorities</w:t>
      </w:r>
    </w:p>
    <w:p w14:paraId="5FA859DE" w14:textId="77777777" w:rsidR="00981D37" w:rsidRPr="00981D37" w:rsidRDefault="00981D37">
      <w:pPr>
        <w:pStyle w:val="ListParagraph"/>
        <w:numPr>
          <w:ilvl w:val="1"/>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Lack of competencies in the authorities</w:t>
      </w:r>
    </w:p>
    <w:p w14:paraId="588C8EF3" w14:textId="4906B473" w:rsidR="00981D37" w:rsidRPr="00981D37" w:rsidRDefault="00981D37">
      <w:pPr>
        <w:pStyle w:val="ListParagraph"/>
        <w:numPr>
          <w:ilvl w:val="0"/>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top 5 systemic issues as reported in EUR RASP 2024 Implementation Survey were related to:</w:t>
      </w:r>
    </w:p>
    <w:p w14:paraId="2354EBA7" w14:textId="77777777" w:rsidR="00981D37" w:rsidRPr="00981D37" w:rsidRDefault="00981D37">
      <w:pPr>
        <w:pStyle w:val="ListParagraph"/>
        <w:numPr>
          <w:ilvl w:val="1"/>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 xml:space="preserve">Effective occurrence reporting </w:t>
      </w:r>
    </w:p>
    <w:p w14:paraId="0BE12450" w14:textId="77777777" w:rsidR="00981D37" w:rsidRPr="00981D37" w:rsidRDefault="00981D37">
      <w:pPr>
        <w:pStyle w:val="ListParagraph"/>
        <w:numPr>
          <w:ilvl w:val="1"/>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Effective assessment of SMS for service providers</w:t>
      </w:r>
    </w:p>
    <w:p w14:paraId="573ABED8" w14:textId="77777777" w:rsidR="00981D37" w:rsidRPr="00981D37" w:rsidRDefault="00981D37">
      <w:pPr>
        <w:pStyle w:val="ListParagraph"/>
        <w:numPr>
          <w:ilvl w:val="1"/>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Competencies of regulatory staff</w:t>
      </w:r>
    </w:p>
    <w:p w14:paraId="03B83DA3" w14:textId="77777777" w:rsidR="00981D37" w:rsidRPr="00981D37" w:rsidRDefault="00981D37">
      <w:pPr>
        <w:pStyle w:val="ListParagraph"/>
        <w:numPr>
          <w:ilvl w:val="1"/>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Overall safety oversight capabilities</w:t>
      </w:r>
    </w:p>
    <w:p w14:paraId="4E214F89" w14:textId="77777777" w:rsidR="00981D37" w:rsidRPr="00981D37" w:rsidRDefault="00981D37">
      <w:pPr>
        <w:pStyle w:val="ListParagraph"/>
        <w:numPr>
          <w:ilvl w:val="1"/>
          <w:numId w:val="29"/>
        </w:numPr>
        <w:spacing w:after="345" w:line="300" w:lineRule="auto"/>
        <w:jc w:val="both"/>
        <w:rPr>
          <w:rFonts w:asciiTheme="minorHAnsi" w:hAnsiTheme="minorHAnsi" w:cstheme="minorHAnsi"/>
          <w:sz w:val="22"/>
          <w:szCs w:val="28"/>
        </w:rPr>
      </w:pPr>
      <w:r w:rsidRPr="00981D37">
        <w:rPr>
          <w:rFonts w:asciiTheme="minorHAnsi" w:hAnsiTheme="minorHAnsi" w:cstheme="minorHAnsi"/>
          <w:sz w:val="22"/>
          <w:szCs w:val="28"/>
        </w:rPr>
        <w:t>Effective oversight of search and rescue operations (SAR)</w:t>
      </w:r>
    </w:p>
    <w:p w14:paraId="6EF512E2" w14:textId="6E697CFC" w:rsidR="00981D37" w:rsidRPr="00981D37" w:rsidRDefault="0027754F" w:rsidP="00637595">
      <w:pPr>
        <w:pStyle w:val="Standardtext"/>
      </w:pPr>
      <w:r w:rsidRPr="00981D37">
        <w:t>Therefore,</w:t>
      </w:r>
      <w:r w:rsidR="00981D37" w:rsidRPr="00981D37">
        <w:t xml:space="preserve"> the following organizational challenges in the European context were considered of the utmost priority because they impact the effectiveness of safety risk controls. These issues are typically systemic in nature and relate to challenges associated with the conduct of States’ safety oversight functions, implementation of SSP at the regional level and the level of SMS implementation by industry in the region. </w:t>
      </w:r>
      <w:r w:rsidR="00981D37" w:rsidRPr="00981D37">
        <w:lastRenderedPageBreak/>
        <w:t xml:space="preserve">They take into consideration organizational culture, policies and procedures within States and those of service providers. These organizational challenges are in line with those listed </w:t>
      </w:r>
      <w:r w:rsidR="008C522A">
        <w:t xml:space="preserve">in </w:t>
      </w:r>
      <w:r w:rsidR="00981D37" w:rsidRPr="00981D37">
        <w:t>the GASP:</w:t>
      </w:r>
    </w:p>
    <w:p w14:paraId="4AE25951" w14:textId="502D2D32" w:rsidR="00981D37" w:rsidRPr="00981D37" w:rsidRDefault="00981D37">
      <w:pPr>
        <w:pStyle w:val="ListParagraph"/>
        <w:numPr>
          <w:ilvl w:val="0"/>
          <w:numId w:val="30"/>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 xml:space="preserve">Lengthy processes to amend primary aviation legislation and operating aviation </w:t>
      </w:r>
      <w:proofErr w:type="gramStart"/>
      <w:r w:rsidRPr="00981D37">
        <w:rPr>
          <w:rFonts w:asciiTheme="minorHAnsi" w:hAnsiTheme="minorHAnsi" w:cstheme="minorHAnsi"/>
          <w:sz w:val="22"/>
          <w:szCs w:val="28"/>
          <w:lang w:val="en-US"/>
        </w:rPr>
        <w:t>regulations</w:t>
      </w:r>
      <w:r w:rsidR="00F84218">
        <w:rPr>
          <w:rFonts w:asciiTheme="minorHAnsi" w:hAnsiTheme="minorHAnsi" w:cstheme="minorHAnsi"/>
          <w:sz w:val="22"/>
          <w:szCs w:val="28"/>
          <w:lang w:val="en-US"/>
        </w:rPr>
        <w:t>;</w:t>
      </w:r>
      <w:proofErr w:type="gramEnd"/>
    </w:p>
    <w:p w14:paraId="688963F2" w14:textId="16ED8943" w:rsidR="00981D37" w:rsidRPr="00981D37" w:rsidRDefault="00981D37">
      <w:pPr>
        <w:pStyle w:val="ListParagraph"/>
        <w:numPr>
          <w:ilvl w:val="0"/>
          <w:numId w:val="30"/>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 xml:space="preserve">Effectiveness and the sustainability of the State’s safety oversight </w:t>
      </w:r>
      <w:proofErr w:type="gramStart"/>
      <w:r w:rsidRPr="00981D37">
        <w:rPr>
          <w:rFonts w:asciiTheme="minorHAnsi" w:hAnsiTheme="minorHAnsi" w:cstheme="minorHAnsi"/>
          <w:sz w:val="22"/>
          <w:szCs w:val="28"/>
          <w:lang w:val="en-US"/>
        </w:rPr>
        <w:t>system</w:t>
      </w:r>
      <w:r w:rsidR="00F84218">
        <w:rPr>
          <w:rFonts w:asciiTheme="minorHAnsi" w:hAnsiTheme="minorHAnsi" w:cstheme="minorHAnsi"/>
          <w:sz w:val="22"/>
          <w:szCs w:val="28"/>
          <w:lang w:val="en-US"/>
        </w:rPr>
        <w:t>;</w:t>
      </w:r>
      <w:proofErr w:type="gramEnd"/>
    </w:p>
    <w:p w14:paraId="79CC2DDA" w14:textId="3BF1C966" w:rsidR="00981D37" w:rsidRPr="00981D37" w:rsidRDefault="00981D37">
      <w:pPr>
        <w:pStyle w:val="ListParagraph"/>
        <w:numPr>
          <w:ilvl w:val="0"/>
          <w:numId w:val="30"/>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 xml:space="preserve">Lack of qualified </w:t>
      </w:r>
      <w:r w:rsidR="0027754F">
        <w:rPr>
          <w:rFonts w:asciiTheme="minorHAnsi" w:hAnsiTheme="minorHAnsi" w:cstheme="minorHAnsi"/>
          <w:sz w:val="22"/>
          <w:szCs w:val="28"/>
          <w:lang w:val="en-US"/>
        </w:rPr>
        <w:t xml:space="preserve">and </w:t>
      </w:r>
      <w:r w:rsidR="0027754F" w:rsidRPr="0027754F">
        <w:rPr>
          <w:rFonts w:asciiTheme="minorHAnsi" w:hAnsiTheme="minorHAnsi" w:cstheme="minorHAnsi"/>
          <w:sz w:val="22"/>
          <w:szCs w:val="28"/>
          <w:highlight w:val="lightGray"/>
          <w:lang w:val="en-US"/>
        </w:rPr>
        <w:t>competent</w:t>
      </w:r>
      <w:r w:rsidR="0027754F">
        <w:rPr>
          <w:rFonts w:asciiTheme="minorHAnsi" w:hAnsiTheme="minorHAnsi" w:cstheme="minorHAnsi"/>
          <w:sz w:val="22"/>
          <w:szCs w:val="28"/>
          <w:lang w:val="en-US"/>
        </w:rPr>
        <w:t xml:space="preserve"> </w:t>
      </w:r>
      <w:r w:rsidRPr="00981D37">
        <w:rPr>
          <w:rFonts w:asciiTheme="minorHAnsi" w:hAnsiTheme="minorHAnsi" w:cstheme="minorHAnsi"/>
          <w:sz w:val="22"/>
          <w:szCs w:val="28"/>
          <w:lang w:val="en-US"/>
        </w:rPr>
        <w:t xml:space="preserve">technical personnel, primarily aircraft accident investigators and aerodrome </w:t>
      </w:r>
      <w:proofErr w:type="gramStart"/>
      <w:r w:rsidRPr="00981D37">
        <w:rPr>
          <w:rFonts w:asciiTheme="minorHAnsi" w:hAnsiTheme="minorHAnsi" w:cstheme="minorHAnsi"/>
          <w:sz w:val="22"/>
          <w:szCs w:val="28"/>
          <w:lang w:val="en-US"/>
        </w:rPr>
        <w:t>inspectors;</w:t>
      </w:r>
      <w:proofErr w:type="gramEnd"/>
    </w:p>
    <w:p w14:paraId="2907F676" w14:textId="77777777" w:rsidR="00981D37" w:rsidRPr="00981D37" w:rsidRDefault="00981D37">
      <w:pPr>
        <w:pStyle w:val="ListParagraph"/>
        <w:numPr>
          <w:ilvl w:val="0"/>
          <w:numId w:val="30"/>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 xml:space="preserve">Effectiveness and independence of the State’s authority in charge of aircraft accident and serious incident </w:t>
      </w:r>
      <w:proofErr w:type="gramStart"/>
      <w:r w:rsidRPr="00981D37">
        <w:rPr>
          <w:rFonts w:asciiTheme="minorHAnsi" w:hAnsiTheme="minorHAnsi" w:cstheme="minorHAnsi"/>
          <w:sz w:val="22"/>
          <w:szCs w:val="28"/>
          <w:lang w:val="en-US"/>
        </w:rPr>
        <w:t>investigation;</w:t>
      </w:r>
      <w:proofErr w:type="gramEnd"/>
    </w:p>
    <w:p w14:paraId="3186E6DB" w14:textId="77777777" w:rsidR="00981D37" w:rsidRPr="00981D37" w:rsidRDefault="00981D37">
      <w:pPr>
        <w:pStyle w:val="ListParagraph"/>
        <w:numPr>
          <w:ilvl w:val="0"/>
          <w:numId w:val="30"/>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 xml:space="preserve">Deficiencies in safety data and safety information collection, analysis, and exchange, to support safety management </w:t>
      </w:r>
      <w:proofErr w:type="gramStart"/>
      <w:r w:rsidRPr="00981D37">
        <w:rPr>
          <w:rFonts w:asciiTheme="minorHAnsi" w:hAnsiTheme="minorHAnsi" w:cstheme="minorHAnsi"/>
          <w:sz w:val="22"/>
          <w:szCs w:val="28"/>
          <w:lang w:val="en-US"/>
        </w:rPr>
        <w:t>activities;</w:t>
      </w:r>
      <w:proofErr w:type="gramEnd"/>
      <w:r w:rsidRPr="00981D37">
        <w:rPr>
          <w:rFonts w:asciiTheme="minorHAnsi" w:hAnsiTheme="minorHAnsi" w:cstheme="minorHAnsi"/>
          <w:sz w:val="22"/>
          <w:szCs w:val="28"/>
          <w:lang w:val="en-US"/>
        </w:rPr>
        <w:t xml:space="preserve"> </w:t>
      </w:r>
    </w:p>
    <w:p w14:paraId="1F533F2B" w14:textId="6E1B9D11" w:rsidR="00981D37" w:rsidRPr="00981D37" w:rsidRDefault="00981D37">
      <w:pPr>
        <w:pStyle w:val="ListParagraph"/>
        <w:numPr>
          <w:ilvl w:val="0"/>
          <w:numId w:val="30"/>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Lack of State’s capabilities to identify key aviation safety risks, and determine safety goals, safety targets and priority safety actions; and</w:t>
      </w:r>
    </w:p>
    <w:p w14:paraId="57AB25C4" w14:textId="77777777" w:rsidR="00981D37" w:rsidRPr="00981D37" w:rsidRDefault="00981D37">
      <w:pPr>
        <w:pStyle w:val="ListParagraph"/>
        <w:numPr>
          <w:ilvl w:val="0"/>
          <w:numId w:val="30"/>
        </w:numPr>
        <w:spacing w:after="345" w:line="300" w:lineRule="auto"/>
        <w:jc w:val="both"/>
        <w:rPr>
          <w:rFonts w:asciiTheme="minorHAnsi" w:hAnsiTheme="minorHAnsi" w:cstheme="minorHAnsi"/>
          <w:sz w:val="22"/>
          <w:szCs w:val="28"/>
          <w:lang w:val="en-US"/>
        </w:rPr>
      </w:pPr>
      <w:r w:rsidRPr="00981D37">
        <w:rPr>
          <w:rFonts w:asciiTheme="minorHAnsi" w:hAnsiTheme="minorHAnsi" w:cstheme="minorHAnsi"/>
          <w:sz w:val="22"/>
          <w:szCs w:val="28"/>
          <w:lang w:val="en-US"/>
        </w:rPr>
        <w:t>Capacity of the CAAs to approve and continuously monitor the service providers’ SMS.</w:t>
      </w:r>
    </w:p>
    <w:p w14:paraId="0A56406F" w14:textId="78C99BBE" w:rsidR="00A45FDB" w:rsidRPr="00631EF6" w:rsidRDefault="00A45FDB">
      <w:pPr>
        <w:pStyle w:val="Heading2"/>
        <w:numPr>
          <w:ilvl w:val="1"/>
          <w:numId w:val="33"/>
        </w:numPr>
        <w:ind w:left="567" w:hanging="567"/>
      </w:pPr>
      <w:bookmarkStart w:id="90" w:name="_Toc462749170"/>
      <w:bookmarkStart w:id="91" w:name="_Toc462751650"/>
      <w:bookmarkStart w:id="92" w:name="_Toc462754130"/>
      <w:bookmarkStart w:id="93" w:name="_Toc462756618"/>
      <w:bookmarkStart w:id="94" w:name="_Toc462759107"/>
      <w:bookmarkStart w:id="95" w:name="_Toc462761595"/>
      <w:bookmarkStart w:id="96" w:name="_Toc482707201"/>
      <w:bookmarkStart w:id="97" w:name="_Toc482707202"/>
      <w:bookmarkStart w:id="98" w:name="_Toc482707203"/>
      <w:bookmarkStart w:id="99" w:name="_Toc482707204"/>
      <w:bookmarkStart w:id="100" w:name="_Toc482707205"/>
      <w:bookmarkStart w:id="101" w:name="_Toc482707206"/>
      <w:bookmarkStart w:id="102" w:name="_Toc482707207"/>
      <w:bookmarkStart w:id="103" w:name="_Toc482707208"/>
      <w:bookmarkStart w:id="104" w:name="_Toc482707209"/>
      <w:bookmarkStart w:id="105" w:name="_Toc482707210"/>
      <w:bookmarkStart w:id="106" w:name="_Toc482707211"/>
      <w:bookmarkStart w:id="107" w:name="_Toc482707212"/>
      <w:bookmarkStart w:id="108" w:name="_Toc482707213"/>
      <w:bookmarkStart w:id="109" w:name="_Toc482707214"/>
      <w:bookmarkStart w:id="110" w:name="_Toc482707215"/>
      <w:bookmarkStart w:id="111" w:name="_Toc482707216"/>
      <w:bookmarkStart w:id="112" w:name="_Toc482707217"/>
      <w:bookmarkStart w:id="113" w:name="_Toc482707218"/>
      <w:bookmarkStart w:id="114" w:name="_Toc482707219"/>
      <w:bookmarkStart w:id="115" w:name="_Toc482707220"/>
      <w:bookmarkStart w:id="116" w:name="_Toc482707221"/>
      <w:bookmarkStart w:id="117" w:name="_Toc482707222"/>
      <w:bookmarkStart w:id="118" w:name="_Toc482707223"/>
      <w:bookmarkStart w:id="119" w:name="_Toc482707224"/>
      <w:bookmarkStart w:id="120" w:name="_Toc482707225"/>
      <w:bookmarkStart w:id="121" w:name="_Toc482707226"/>
      <w:bookmarkStart w:id="122" w:name="_Toc482707227"/>
      <w:bookmarkStart w:id="123" w:name="_Toc482707228"/>
      <w:bookmarkStart w:id="124" w:name="_Toc482707229"/>
      <w:bookmarkStart w:id="125" w:name="_Toc482707230"/>
      <w:bookmarkStart w:id="126" w:name="_Toc482707231"/>
      <w:bookmarkStart w:id="127" w:name="_Toc482707232"/>
      <w:bookmarkStart w:id="128" w:name="_Toc482707233"/>
      <w:bookmarkStart w:id="129" w:name="_Toc482707234"/>
      <w:bookmarkStart w:id="130" w:name="_Toc482707235"/>
      <w:bookmarkStart w:id="131" w:name="_Toc482707236"/>
      <w:bookmarkStart w:id="132" w:name="_Toc482707237"/>
      <w:bookmarkStart w:id="133" w:name="_Toc482707238"/>
      <w:bookmarkStart w:id="134" w:name="_Toc482707239"/>
      <w:bookmarkStart w:id="135" w:name="_Toc482707240"/>
      <w:bookmarkStart w:id="136" w:name="_Toc482707241"/>
      <w:bookmarkStart w:id="137" w:name="_Toc482707242"/>
      <w:bookmarkStart w:id="138" w:name="_Toc482707243"/>
      <w:bookmarkStart w:id="139" w:name="_Toc482707244"/>
      <w:bookmarkStart w:id="140" w:name="_Toc482707245"/>
      <w:bookmarkStart w:id="141" w:name="_Toc482707246"/>
      <w:bookmarkStart w:id="142" w:name="_Toc482707247"/>
      <w:bookmarkStart w:id="143" w:name="_Toc482707248"/>
      <w:bookmarkStart w:id="144" w:name="_Toc482707249"/>
      <w:bookmarkStart w:id="145" w:name="_Toc482707250"/>
      <w:bookmarkStart w:id="146" w:name="_Toc482707251"/>
      <w:bookmarkStart w:id="147" w:name="_Toc482707252"/>
      <w:bookmarkStart w:id="148" w:name="_Toc482707253"/>
      <w:bookmarkStart w:id="149" w:name="_Toc482707254"/>
      <w:bookmarkStart w:id="150" w:name="_Toc482707255"/>
      <w:bookmarkStart w:id="151" w:name="_Toc482707256"/>
      <w:bookmarkStart w:id="152" w:name="_Toc482707257"/>
      <w:bookmarkStart w:id="153" w:name="_Toc482707258"/>
      <w:bookmarkStart w:id="154" w:name="_Toc482707259"/>
      <w:bookmarkStart w:id="155" w:name="_Toc482707260"/>
      <w:bookmarkStart w:id="156" w:name="_Toc482707261"/>
      <w:bookmarkStart w:id="157" w:name="_Toc482707262"/>
      <w:bookmarkStart w:id="158" w:name="_Toc482707263"/>
      <w:bookmarkStart w:id="159" w:name="_Toc213137998"/>
      <w:bookmarkEnd w:id="8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631EF6">
        <w:t xml:space="preserve">Human </w:t>
      </w:r>
      <w:r w:rsidR="00C93E47">
        <w:t>factors and human performance</w:t>
      </w:r>
      <w:bookmarkEnd w:id="159"/>
    </w:p>
    <w:p w14:paraId="3260CBC7" w14:textId="1A6BEF26" w:rsidR="00A45FDB" w:rsidRPr="00631EF6" w:rsidRDefault="0002057E" w:rsidP="0005320F">
      <w:pPr>
        <w:pStyle w:val="Standardtext"/>
      </w:pPr>
      <w:r w:rsidRPr="00631EF6">
        <w:t>The following</w:t>
      </w:r>
      <w:r w:rsidR="00B53121" w:rsidRPr="00631EF6">
        <w:t xml:space="preserve"> </w:t>
      </w:r>
      <w:r w:rsidR="00A45FDB" w:rsidRPr="00631EF6">
        <w:t xml:space="preserve">safety issues </w:t>
      </w:r>
      <w:r w:rsidRPr="00631EF6">
        <w:t>are prioriti</w:t>
      </w:r>
      <w:r w:rsidR="001E3693" w:rsidRPr="00631EF6">
        <w:t>s</w:t>
      </w:r>
      <w:r w:rsidRPr="00631EF6">
        <w:t xml:space="preserve">ed </w:t>
      </w:r>
      <w:r w:rsidR="00A45FDB" w:rsidRPr="00631EF6">
        <w:t>for more in-depth analysis. These issues are systemic safety issues, while other safety issues that also have human performance element</w:t>
      </w:r>
      <w:r w:rsidR="00B53121" w:rsidRPr="00631EF6">
        <w:t xml:space="preserve"> may be addressed as part of the operational safety issue assessment</w:t>
      </w:r>
      <w:r w:rsidR="00A45FDB" w:rsidRPr="00631EF6">
        <w:t>s:</w:t>
      </w:r>
    </w:p>
    <w:p w14:paraId="6589157D" w14:textId="77777777" w:rsidR="00B53121" w:rsidRPr="00631EF6" w:rsidRDefault="00B53121">
      <w:pPr>
        <w:pStyle w:val="ListParagraph"/>
        <w:numPr>
          <w:ilvl w:val="0"/>
          <w:numId w:val="13"/>
        </w:numPr>
        <w:spacing w:after="120"/>
        <w:ind w:left="714" w:hanging="357"/>
        <w:contextualSpacing w:val="0"/>
        <w:jc w:val="both"/>
        <w:rPr>
          <w:rFonts w:asciiTheme="minorHAnsi" w:hAnsiTheme="minorHAnsi" w:cstheme="minorHAnsi"/>
          <w:sz w:val="22"/>
          <w:szCs w:val="22"/>
        </w:rPr>
      </w:pPr>
      <w:r w:rsidRPr="00631EF6">
        <w:rPr>
          <w:rFonts w:asciiTheme="minorHAnsi" w:hAnsiTheme="minorHAnsi" w:cstheme="minorHAnsi"/>
          <w:b/>
          <w:sz w:val="22"/>
          <w:szCs w:val="22"/>
        </w:rPr>
        <w:t>Design and Use of Procedures</w:t>
      </w:r>
      <w:r w:rsidRPr="00631EF6">
        <w:rPr>
          <w:rFonts w:asciiTheme="minorHAnsi" w:hAnsiTheme="minorHAnsi" w:cstheme="minorHAnsi"/>
          <w:sz w:val="22"/>
          <w:szCs w:val="22"/>
        </w:rPr>
        <w:t xml:space="preserve"> – </w:t>
      </w:r>
      <w:r w:rsidRPr="00631EF6">
        <w:rPr>
          <w:rFonts w:asciiTheme="minorHAnsi" w:eastAsia="Calibri" w:hAnsiTheme="minorHAnsi" w:cstheme="minorHAnsi"/>
          <w:sz w:val="22"/>
          <w:szCs w:val="22"/>
        </w:rPr>
        <w:t>It is imperative for procedures to be designed so that they are usable, but this is increasingly difficult in the context of a complex system.</w:t>
      </w:r>
      <w:r w:rsidRPr="00631EF6">
        <w:rPr>
          <w:rFonts w:asciiTheme="minorHAnsi" w:hAnsiTheme="minorHAnsi" w:cstheme="minorHAnsi"/>
          <w:sz w:val="22"/>
          <w:szCs w:val="22"/>
        </w:rPr>
        <w:t xml:space="preserve"> </w:t>
      </w:r>
    </w:p>
    <w:p w14:paraId="46767133" w14:textId="407FEAFD" w:rsidR="00A45FDB" w:rsidRPr="00631EF6" w:rsidRDefault="00A45FDB">
      <w:pPr>
        <w:pStyle w:val="ListParagraph"/>
        <w:numPr>
          <w:ilvl w:val="0"/>
          <w:numId w:val="13"/>
        </w:numPr>
        <w:spacing w:after="120"/>
        <w:ind w:left="714" w:hanging="357"/>
        <w:contextualSpacing w:val="0"/>
        <w:jc w:val="both"/>
        <w:rPr>
          <w:rFonts w:asciiTheme="minorHAnsi" w:hAnsiTheme="minorHAnsi" w:cstheme="minorHAnsi"/>
          <w:sz w:val="22"/>
          <w:szCs w:val="22"/>
        </w:rPr>
      </w:pPr>
      <w:r w:rsidRPr="00631EF6">
        <w:rPr>
          <w:rFonts w:asciiTheme="minorHAnsi" w:hAnsiTheme="minorHAnsi" w:cstheme="minorHAnsi"/>
          <w:b/>
          <w:sz w:val="22"/>
          <w:szCs w:val="22"/>
        </w:rPr>
        <w:t>Senior Management Knowledge, Competence, &amp; Commitment to HF/HP</w:t>
      </w:r>
      <w:r w:rsidRPr="00631EF6">
        <w:rPr>
          <w:rFonts w:asciiTheme="minorHAnsi" w:hAnsiTheme="minorHAnsi" w:cstheme="minorHAnsi"/>
          <w:sz w:val="22"/>
          <w:szCs w:val="22"/>
        </w:rPr>
        <w:t xml:space="preserve"> - Unless senior management takes the lead in implementing human factors, the culture does not permeate throughout the organisation, with consequences for safety and efficiency. </w:t>
      </w:r>
    </w:p>
    <w:p w14:paraId="2A5B43B1" w14:textId="4BD0FEFA" w:rsidR="00A45FDB" w:rsidRPr="00631EF6" w:rsidRDefault="00A45FDB">
      <w:pPr>
        <w:pStyle w:val="ListParagraph"/>
        <w:numPr>
          <w:ilvl w:val="0"/>
          <w:numId w:val="13"/>
        </w:numPr>
        <w:spacing w:after="120"/>
        <w:ind w:left="714" w:hanging="357"/>
        <w:contextualSpacing w:val="0"/>
        <w:jc w:val="both"/>
        <w:rPr>
          <w:rFonts w:asciiTheme="minorHAnsi" w:hAnsiTheme="minorHAnsi" w:cstheme="minorHAnsi"/>
          <w:sz w:val="22"/>
          <w:szCs w:val="22"/>
        </w:rPr>
      </w:pPr>
      <w:r w:rsidRPr="00631EF6">
        <w:rPr>
          <w:rFonts w:asciiTheme="minorHAnsi" w:hAnsiTheme="minorHAnsi" w:cstheme="minorHAnsi"/>
          <w:b/>
          <w:sz w:val="22"/>
          <w:szCs w:val="22"/>
        </w:rPr>
        <w:t>Organisational and Individual Resilience</w:t>
      </w:r>
      <w:r w:rsidRPr="00631EF6">
        <w:rPr>
          <w:rFonts w:asciiTheme="minorHAnsi" w:hAnsiTheme="minorHAnsi" w:cstheme="minorHAnsi"/>
          <w:sz w:val="22"/>
          <w:szCs w:val="22"/>
        </w:rPr>
        <w:t xml:space="preserve"> - Organisational and individual resilience are key factors in successfully managing safety, but there is little regulatory guidance on how to apply the concept. </w:t>
      </w:r>
    </w:p>
    <w:p w14:paraId="6B2146E7" w14:textId="7AC00732" w:rsidR="00A45FDB" w:rsidRPr="00631EF6" w:rsidRDefault="00A45FDB">
      <w:pPr>
        <w:pStyle w:val="ListParagraph"/>
        <w:numPr>
          <w:ilvl w:val="0"/>
          <w:numId w:val="13"/>
        </w:numPr>
        <w:spacing w:after="120"/>
        <w:ind w:left="714" w:hanging="357"/>
        <w:contextualSpacing w:val="0"/>
        <w:jc w:val="both"/>
        <w:rPr>
          <w:rFonts w:asciiTheme="minorHAnsi" w:hAnsiTheme="minorHAnsi" w:cstheme="minorHAnsi"/>
          <w:sz w:val="22"/>
          <w:szCs w:val="22"/>
        </w:rPr>
      </w:pPr>
      <w:r w:rsidRPr="00631EF6">
        <w:rPr>
          <w:rFonts w:asciiTheme="minorHAnsi" w:hAnsiTheme="minorHAnsi" w:cstheme="minorHAnsi"/>
          <w:b/>
          <w:sz w:val="22"/>
          <w:szCs w:val="22"/>
        </w:rPr>
        <w:t>Training Effectiveness and Competence</w:t>
      </w:r>
      <w:r w:rsidRPr="00631EF6">
        <w:rPr>
          <w:rFonts w:asciiTheme="minorHAnsi" w:hAnsiTheme="minorHAnsi" w:cstheme="minorHAnsi"/>
          <w:sz w:val="22"/>
          <w:szCs w:val="22"/>
        </w:rPr>
        <w:t xml:space="preserve"> - There can be too large a gap between work as imagined and work as done, resulting in ineffective or negative training. Some changes to training regimes may exacerbate the problem. </w:t>
      </w:r>
    </w:p>
    <w:p w14:paraId="589C914A" w14:textId="39C23DD3" w:rsidR="00B53121" w:rsidRDefault="00B53121">
      <w:pPr>
        <w:pStyle w:val="ListParagraph"/>
        <w:numPr>
          <w:ilvl w:val="0"/>
          <w:numId w:val="13"/>
        </w:numPr>
        <w:spacing w:before="120" w:after="120"/>
        <w:jc w:val="both"/>
        <w:rPr>
          <w:rFonts w:asciiTheme="minorHAnsi" w:hAnsiTheme="minorHAnsi" w:cstheme="minorHAnsi"/>
          <w:sz w:val="22"/>
          <w:szCs w:val="22"/>
        </w:rPr>
      </w:pPr>
      <w:r w:rsidRPr="00631EF6">
        <w:rPr>
          <w:rFonts w:asciiTheme="minorHAnsi" w:hAnsiTheme="minorHAnsi" w:cstheme="minorHAnsi"/>
          <w:b/>
          <w:sz w:val="22"/>
          <w:szCs w:val="22"/>
        </w:rPr>
        <w:t>Fatigue (quality sleep)</w:t>
      </w:r>
      <w:r w:rsidRPr="00631EF6">
        <w:rPr>
          <w:rFonts w:asciiTheme="minorHAnsi" w:hAnsiTheme="minorHAnsi" w:cstheme="minorHAnsi"/>
          <w:sz w:val="22"/>
          <w:szCs w:val="22"/>
        </w:rPr>
        <w:t xml:space="preserve"> — Fatigue, including the aspect of quality sleep, has been identified as a safety issue, despite extensive research and regulation in this area. </w:t>
      </w:r>
    </w:p>
    <w:p w14:paraId="313486AC" w14:textId="522440D0" w:rsidR="0027754F" w:rsidRPr="00E13951" w:rsidRDefault="0027754F" w:rsidP="0027754F">
      <w:pPr>
        <w:spacing w:before="120" w:after="120"/>
        <w:jc w:val="both"/>
        <w:rPr>
          <w:rFonts w:asciiTheme="minorHAnsi" w:hAnsiTheme="minorHAnsi" w:cstheme="minorHAnsi"/>
          <w:sz w:val="22"/>
          <w:szCs w:val="22"/>
        </w:rPr>
      </w:pPr>
      <w:r w:rsidRPr="00E13951">
        <w:rPr>
          <w:rFonts w:asciiTheme="minorHAnsi" w:hAnsiTheme="minorHAnsi" w:cstheme="minorHAnsi"/>
          <w:sz w:val="22"/>
          <w:szCs w:val="22"/>
        </w:rPr>
        <w:t>Overall, this area presents:</w:t>
      </w:r>
    </w:p>
    <w:p w14:paraId="06405E91" w14:textId="54132FC8" w:rsidR="0027754F" w:rsidRPr="00E13951" w:rsidRDefault="0027754F">
      <w:pPr>
        <w:pStyle w:val="ListParagraph"/>
        <w:numPr>
          <w:ilvl w:val="0"/>
          <w:numId w:val="30"/>
        </w:numPr>
        <w:spacing w:after="345" w:line="300" w:lineRule="auto"/>
        <w:jc w:val="both"/>
        <w:rPr>
          <w:rFonts w:asciiTheme="minorHAnsi" w:hAnsiTheme="minorHAnsi" w:cstheme="minorHAnsi"/>
          <w:sz w:val="22"/>
          <w:szCs w:val="28"/>
          <w:lang w:val="en-US"/>
        </w:rPr>
      </w:pPr>
      <w:r w:rsidRPr="00E13951">
        <w:rPr>
          <w:rFonts w:asciiTheme="minorHAnsi" w:hAnsiTheme="minorHAnsi" w:cstheme="minorHAnsi"/>
          <w:sz w:val="22"/>
          <w:szCs w:val="28"/>
          <w:lang w:val="en-US"/>
        </w:rPr>
        <w:t>Human factors and human performance</w:t>
      </w:r>
    </w:p>
    <w:p w14:paraId="59339E73" w14:textId="6AE7CAD9" w:rsidR="00B53121" w:rsidRPr="00631EF6" w:rsidRDefault="00B53121">
      <w:pPr>
        <w:pStyle w:val="Heading2"/>
        <w:numPr>
          <w:ilvl w:val="1"/>
          <w:numId w:val="33"/>
        </w:numPr>
        <w:ind w:left="567" w:hanging="567"/>
      </w:pPr>
      <w:bookmarkStart w:id="160" w:name="_Toc213137999"/>
      <w:r w:rsidRPr="00631EF6">
        <w:t xml:space="preserve">Competence of </w:t>
      </w:r>
      <w:r w:rsidR="0027754F" w:rsidRPr="00E13951">
        <w:t>operational</w:t>
      </w:r>
      <w:r w:rsidR="0027754F">
        <w:t xml:space="preserve"> </w:t>
      </w:r>
      <w:r w:rsidRPr="00631EF6">
        <w:t>personnel</w:t>
      </w:r>
      <w:bookmarkEnd w:id="160"/>
    </w:p>
    <w:p w14:paraId="2CAACEA3" w14:textId="5A457EC3" w:rsidR="00A45FDB" w:rsidRPr="00631EF6" w:rsidRDefault="00A45FDB" w:rsidP="0005320F">
      <w:pPr>
        <w:pStyle w:val="Standardtext"/>
      </w:pPr>
      <w:r w:rsidRPr="00631EF6">
        <w:t xml:space="preserve">The safety actions related to aviation personnel are aimed at introducing competency-based training in all </w:t>
      </w:r>
      <w:r w:rsidR="00F84218" w:rsidRPr="00631EF6">
        <w:t>licenses</w:t>
      </w:r>
      <w:r w:rsidRPr="00631EF6">
        <w:t xml:space="preserve"> and </w:t>
      </w:r>
      <w:proofErr w:type="gramStart"/>
      <w:r w:rsidRPr="00631EF6">
        <w:t>ratings, and</w:t>
      </w:r>
      <w:proofErr w:type="gramEnd"/>
      <w:r w:rsidRPr="00631EF6">
        <w:t xml:space="preserve"> facilitating the availability of appropriate personnel in </w:t>
      </w:r>
      <w:r w:rsidR="001F6551">
        <w:t>CAAs</w:t>
      </w:r>
      <w:r w:rsidRPr="00631EF6">
        <w:t>. These actions will contribute to mitigating related safety issues, which play a role in improving safety across all aviation domains. Training and education are considered key enablers.</w:t>
      </w:r>
    </w:p>
    <w:p w14:paraId="4A9E64A2" w14:textId="23CDA221" w:rsidR="0002057E" w:rsidRDefault="0002057E" w:rsidP="0005320F">
      <w:pPr>
        <w:pStyle w:val="Standardtext"/>
      </w:pPr>
      <w:r w:rsidRPr="00631EF6">
        <w:t xml:space="preserve">The CAAs shall take due account of requests to introduce competency-based training and assessment (CBTA) for all categories of aviation personnel to whom the concept is addressed: </w:t>
      </w:r>
      <w:r w:rsidR="003A5215">
        <w:t xml:space="preserve">flight crew personnel, </w:t>
      </w:r>
      <w:r w:rsidRPr="00631EF6">
        <w:t xml:space="preserve">aircraft maintenance personnel, </w:t>
      </w:r>
      <w:r w:rsidR="003A5215">
        <w:t xml:space="preserve">air traffic management </w:t>
      </w:r>
      <w:r w:rsidRPr="00631EF6">
        <w:t>personnel, flight operations officers</w:t>
      </w:r>
      <w:r w:rsidR="003A5215">
        <w:t xml:space="preserve">/flight </w:t>
      </w:r>
      <w:r w:rsidR="001852DE">
        <w:t>dispatchers</w:t>
      </w:r>
      <w:r w:rsidR="003A5215">
        <w:t>, remote pilots and other aviation personnel</w:t>
      </w:r>
      <w:r w:rsidRPr="00631EF6">
        <w:t xml:space="preserve">. A phased approach to gradually </w:t>
      </w:r>
      <w:r w:rsidR="007F1CBA" w:rsidRPr="00631EF6">
        <w:t>reaching</w:t>
      </w:r>
      <w:r w:rsidRPr="00631EF6">
        <w:t xml:space="preserve"> the level of maturity </w:t>
      </w:r>
      <w:r w:rsidRPr="00631EF6">
        <w:lastRenderedPageBreak/>
        <w:t xml:space="preserve">required for the full implementation </w:t>
      </w:r>
      <w:r w:rsidR="00270DD1" w:rsidRPr="00631EF6">
        <w:t xml:space="preserve">should be </w:t>
      </w:r>
      <w:r w:rsidRPr="00631EF6">
        <w:t xml:space="preserve">adopted. The safety actions for the introduction of the new training concept </w:t>
      </w:r>
      <w:r w:rsidR="00270DD1" w:rsidRPr="00631EF6">
        <w:t xml:space="preserve">may </w:t>
      </w:r>
      <w:r w:rsidRPr="00631EF6">
        <w:t>initially address pilots, through training organisations and operators.</w:t>
      </w:r>
    </w:p>
    <w:p w14:paraId="06F6B37F" w14:textId="651E13CF" w:rsidR="00DB2493" w:rsidRPr="00DB2493" w:rsidRDefault="00DB2493" w:rsidP="00DB2493">
      <w:pPr>
        <w:spacing w:after="120" w:line="276" w:lineRule="auto"/>
        <w:jc w:val="both"/>
        <w:rPr>
          <w:rFonts w:asciiTheme="minorHAnsi" w:hAnsiTheme="minorHAnsi" w:cstheme="minorHAnsi"/>
          <w:sz w:val="22"/>
          <w:szCs w:val="22"/>
        </w:rPr>
      </w:pPr>
      <w:r w:rsidRPr="00DB2493">
        <w:rPr>
          <w:rFonts w:asciiTheme="minorHAnsi" w:hAnsiTheme="minorHAnsi" w:cstheme="minorHAnsi"/>
          <w:b/>
          <w:bCs/>
          <w:sz w:val="22"/>
          <w:szCs w:val="22"/>
        </w:rPr>
        <w:t>Language proficiency</w:t>
      </w:r>
      <w:r w:rsidRPr="00DB2493">
        <w:rPr>
          <w:rFonts w:asciiTheme="minorHAnsi" w:hAnsiTheme="minorHAnsi" w:cstheme="minorHAnsi"/>
          <w:sz w:val="22"/>
          <w:szCs w:val="22"/>
        </w:rPr>
        <w:t xml:space="preserve"> constitutes another focus area. The decision to address language proficiency requirements (LPRs) for pilots and air traffic controllers was first made by the 32</w:t>
      </w:r>
      <w:r w:rsidRPr="00DB2493">
        <w:rPr>
          <w:rFonts w:asciiTheme="minorHAnsi" w:hAnsiTheme="minorHAnsi" w:cstheme="minorHAnsi"/>
          <w:sz w:val="22"/>
          <w:szCs w:val="22"/>
          <w:vertAlign w:val="superscript"/>
        </w:rPr>
        <w:t>nd</w:t>
      </w:r>
      <w:r w:rsidRPr="00DB2493">
        <w:rPr>
          <w:rFonts w:asciiTheme="minorHAnsi" w:hAnsiTheme="minorHAnsi" w:cstheme="minorHAnsi"/>
          <w:sz w:val="22"/>
          <w:szCs w:val="22"/>
        </w:rPr>
        <w:t xml:space="preserve"> Session of the ICAO Assembly in September 1998 as a direct response to several fatal accidents, including one that cost the lives of 349 persons as well as to previous fatal accidents in which the lack of proficiency in English was identified as a contributing factor. The intent was to improve the level of language proficiency in aviation worldwide and reduce the communication breakdowns caused by a lack of language skills. LPRs have now moved beyond implementation (Assembly Resolution A38-8 refers) entering a phase of post implementation. </w:t>
      </w:r>
    </w:p>
    <w:p w14:paraId="4150C3D0" w14:textId="6D1BE372" w:rsidR="00DB2493" w:rsidRDefault="00DB2493" w:rsidP="00DB2493">
      <w:pPr>
        <w:spacing w:after="120" w:line="276" w:lineRule="auto"/>
        <w:jc w:val="both"/>
        <w:rPr>
          <w:rFonts w:asciiTheme="minorHAnsi" w:hAnsiTheme="minorHAnsi" w:cstheme="minorHAnsi"/>
          <w:sz w:val="22"/>
          <w:szCs w:val="22"/>
        </w:rPr>
      </w:pPr>
      <w:r w:rsidRPr="00DB2493">
        <w:rPr>
          <w:rFonts w:asciiTheme="minorHAnsi" w:hAnsiTheme="minorHAnsi" w:cstheme="minorHAnsi"/>
          <w:sz w:val="22"/>
          <w:szCs w:val="22"/>
        </w:rPr>
        <w:t>Despite the successful establishment of national LPR systems there remains insufficient awareness</w:t>
      </w:r>
      <w:r>
        <w:rPr>
          <w:rFonts w:asciiTheme="minorHAnsi" w:hAnsiTheme="minorHAnsi" w:cstheme="minorHAnsi"/>
          <w:sz w:val="22"/>
          <w:szCs w:val="22"/>
        </w:rPr>
        <w:t>,</w:t>
      </w:r>
      <w:r w:rsidRPr="00DB2493">
        <w:rPr>
          <w:rFonts w:asciiTheme="minorHAnsi" w:hAnsiTheme="minorHAnsi" w:cstheme="minorHAnsi"/>
          <w:sz w:val="22"/>
          <w:szCs w:val="22"/>
        </w:rPr>
        <w:t xml:space="preserve"> particularly in the selection of suitable and appropriate </w:t>
      </w:r>
      <w:r w:rsidR="008C6265" w:rsidRPr="008C6265">
        <w:rPr>
          <w:rFonts w:asciiTheme="minorHAnsi" w:hAnsiTheme="minorHAnsi" w:cstheme="minorHAnsi"/>
          <w:sz w:val="22"/>
          <w:szCs w:val="22"/>
          <w:shd w:val="clear" w:color="auto" w:fill="BFBFBF" w:themeFill="background1" w:themeFillShade="BF"/>
        </w:rPr>
        <w:t xml:space="preserve">language competency development and </w:t>
      </w:r>
      <w:r w:rsidRPr="00DB2493">
        <w:rPr>
          <w:rFonts w:asciiTheme="minorHAnsi" w:hAnsiTheme="minorHAnsi" w:cstheme="minorHAnsi"/>
          <w:sz w:val="22"/>
          <w:szCs w:val="22"/>
        </w:rPr>
        <w:t xml:space="preserve">testing tools that meet ICAO LPRs which may result in safety risks. </w:t>
      </w:r>
    </w:p>
    <w:p w14:paraId="0434775F" w14:textId="77777777" w:rsidR="00954FE0" w:rsidRPr="00E13951" w:rsidRDefault="00954FE0" w:rsidP="00954FE0">
      <w:pPr>
        <w:spacing w:before="120" w:after="120"/>
        <w:jc w:val="both"/>
        <w:rPr>
          <w:rFonts w:asciiTheme="minorHAnsi" w:hAnsiTheme="minorHAnsi" w:cstheme="minorHAnsi"/>
          <w:sz w:val="22"/>
          <w:szCs w:val="22"/>
        </w:rPr>
      </w:pPr>
      <w:r w:rsidRPr="00E13951">
        <w:rPr>
          <w:rFonts w:asciiTheme="minorHAnsi" w:hAnsiTheme="minorHAnsi" w:cstheme="minorHAnsi"/>
          <w:sz w:val="22"/>
          <w:szCs w:val="22"/>
        </w:rPr>
        <w:t>Overall, this area presents:</w:t>
      </w:r>
    </w:p>
    <w:p w14:paraId="17B83212" w14:textId="2D91F2CE" w:rsidR="00954FE0" w:rsidRPr="00E13951" w:rsidRDefault="00954FE0">
      <w:pPr>
        <w:pStyle w:val="ListParagraph"/>
        <w:numPr>
          <w:ilvl w:val="0"/>
          <w:numId w:val="30"/>
        </w:numPr>
        <w:rPr>
          <w:rFonts w:asciiTheme="minorHAnsi" w:hAnsiTheme="minorHAnsi" w:cstheme="minorHAnsi"/>
          <w:sz w:val="22"/>
          <w:szCs w:val="28"/>
          <w:lang w:val="en-US"/>
        </w:rPr>
      </w:pPr>
      <w:r w:rsidRPr="00E13951">
        <w:rPr>
          <w:rFonts w:asciiTheme="minorHAnsi" w:hAnsiTheme="minorHAnsi" w:cstheme="minorHAnsi"/>
          <w:sz w:val="22"/>
          <w:szCs w:val="28"/>
          <w:lang w:val="en-US"/>
        </w:rPr>
        <w:t>Competence of operational personnel and language proficiency</w:t>
      </w:r>
    </w:p>
    <w:p w14:paraId="31A56347" w14:textId="4128BF11" w:rsidR="00A45FDB" w:rsidRPr="00631EF6" w:rsidRDefault="00A45FDB">
      <w:pPr>
        <w:pStyle w:val="Heading2"/>
        <w:numPr>
          <w:ilvl w:val="1"/>
          <w:numId w:val="33"/>
        </w:numPr>
        <w:ind w:left="567" w:hanging="567"/>
      </w:pPr>
      <w:bookmarkStart w:id="161" w:name="_Toc213138000"/>
      <w:bookmarkStart w:id="162" w:name="_Hlk209688728"/>
      <w:r w:rsidRPr="00631EF6">
        <w:t>Impact of security on safety</w:t>
      </w:r>
      <w:bookmarkEnd w:id="161"/>
      <w:r w:rsidRPr="00631EF6">
        <w:t xml:space="preserve"> </w:t>
      </w:r>
    </w:p>
    <w:p w14:paraId="24F28EA5" w14:textId="77777777" w:rsidR="00992EA9" w:rsidRPr="008F2D2D" w:rsidRDefault="00992EA9" w:rsidP="00992EA9">
      <w:pPr>
        <w:pStyle w:val="Standardtext"/>
        <w:rPr>
          <w:rFonts w:asciiTheme="minorHAnsi" w:hAnsiTheme="minorHAnsi" w:cstheme="minorHAnsi"/>
          <w:color w:val="auto"/>
          <w:highlight w:val="lightGray"/>
          <w:u w:val="single"/>
          <w:lang w:val="en-GB"/>
        </w:rPr>
      </w:pPr>
      <w:bookmarkStart w:id="163" w:name="_Hlk209688700"/>
      <w:bookmarkEnd w:id="162"/>
      <w:r w:rsidRPr="008F2D2D">
        <w:rPr>
          <w:rFonts w:asciiTheme="minorHAnsi" w:hAnsiTheme="minorHAnsi" w:cstheme="minorHAnsi"/>
          <w:color w:val="auto"/>
          <w:highlight w:val="lightGray"/>
          <w:u w:val="single"/>
          <w:lang w:val="en-GB"/>
        </w:rPr>
        <w:t>Impact of GNSS interferences on civil aviation operations and safe transition to Performance-Based Navigation (PBN)</w:t>
      </w:r>
    </w:p>
    <w:bookmarkEnd w:id="163"/>
    <w:p w14:paraId="08571674" w14:textId="5D19F6FC" w:rsidR="00992EA9" w:rsidRPr="008F2D2D" w:rsidRDefault="00992EA9" w:rsidP="00992EA9">
      <w:pPr>
        <w:pStyle w:val="Standardtext"/>
        <w:rPr>
          <w:highlight w:val="lightGray"/>
        </w:rPr>
      </w:pPr>
      <w:r w:rsidRPr="008F2D2D">
        <w:rPr>
          <w:highlight w:val="lightGray"/>
        </w:rPr>
        <w:t xml:space="preserve">Recently, Global Navigation Satellite System (GNSS) jamming and spoofing incidents have increasingly threatened the integrity of Positioning, Navigation, and Timing (PNT) services at global level. GNSS is a service based on satellite constellations such as the US Global Positioning System (GPS) and EU's Galileo. Due to the extremely weak radio signal and lack of authentication mechanism, the system is prone to </w:t>
      </w:r>
      <w:r w:rsidR="00F84218">
        <w:rPr>
          <w:highlight w:val="lightGray"/>
        </w:rPr>
        <w:t>j</w:t>
      </w:r>
      <w:r w:rsidR="00F84218" w:rsidRPr="008F2D2D">
        <w:rPr>
          <w:highlight w:val="lightGray"/>
        </w:rPr>
        <w:t xml:space="preserve">amming </w:t>
      </w:r>
      <w:r w:rsidRPr="008F2D2D">
        <w:rPr>
          <w:highlight w:val="lightGray"/>
        </w:rPr>
        <w:t xml:space="preserve">and </w:t>
      </w:r>
      <w:r w:rsidR="00F84218">
        <w:rPr>
          <w:highlight w:val="lightGray"/>
        </w:rPr>
        <w:t>s</w:t>
      </w:r>
      <w:r w:rsidR="00F84218" w:rsidRPr="008F2D2D">
        <w:rPr>
          <w:highlight w:val="lightGray"/>
        </w:rPr>
        <w:t>poofing</w:t>
      </w:r>
      <w:r w:rsidRPr="008F2D2D">
        <w:rPr>
          <w:highlight w:val="lightGray"/>
        </w:rPr>
        <w:t xml:space="preserve">. </w:t>
      </w:r>
    </w:p>
    <w:p w14:paraId="10051C33" w14:textId="4EAF8040" w:rsidR="00992EA9" w:rsidRPr="008F2D2D" w:rsidRDefault="00992EA9" w:rsidP="00992EA9">
      <w:pPr>
        <w:pStyle w:val="Standardtext"/>
        <w:rPr>
          <w:highlight w:val="lightGray"/>
        </w:rPr>
      </w:pPr>
      <w:r w:rsidRPr="008F2D2D">
        <w:rPr>
          <w:highlight w:val="lightGray"/>
        </w:rPr>
        <w:t xml:space="preserve">Jamming blocks the satellite signal, whereas spoofing sends false information. </w:t>
      </w:r>
    </w:p>
    <w:p w14:paraId="2F178744" w14:textId="7A15A7CE" w:rsidR="00992EA9" w:rsidRPr="008F2D2D" w:rsidRDefault="00992EA9" w:rsidP="00992EA9">
      <w:pPr>
        <w:pStyle w:val="Standardtext"/>
        <w:rPr>
          <w:highlight w:val="lightGray"/>
        </w:rPr>
      </w:pPr>
      <w:r w:rsidRPr="008F2D2D">
        <w:rPr>
          <w:highlight w:val="lightGray"/>
        </w:rPr>
        <w:t xml:space="preserve">This poses a substantial threat to the aviation system as a whole – both on the ground and in the air – due to its potential impact on communication, navigation, surveillance, and flight systems. Furthermore, it has a cross-organisational dimension, affecting aircraft manufacturers, air navigation service providers, airports, and airline operators on a global scale. The implications are particularly significant for countries with, or in proximity to, affected airspaces, as is currently the case in </w:t>
      </w:r>
      <w:r w:rsidR="004A28BD">
        <w:rPr>
          <w:highlight w:val="lightGray"/>
        </w:rPr>
        <w:t>the EUR Region</w:t>
      </w:r>
      <w:r w:rsidRPr="008F2D2D">
        <w:rPr>
          <w:highlight w:val="lightGray"/>
        </w:rPr>
        <w:t>.</w:t>
      </w:r>
    </w:p>
    <w:p w14:paraId="165E6A5F" w14:textId="77777777" w:rsidR="00FE366F" w:rsidRDefault="00FE366F" w:rsidP="00992EA9">
      <w:pPr>
        <w:pStyle w:val="Standardtext"/>
        <w:rPr>
          <w:highlight w:val="lightGray"/>
        </w:rPr>
      </w:pPr>
      <w:r w:rsidRPr="00FE366F">
        <w:rPr>
          <w:highlight w:val="lightGray"/>
          <w:lang w:val="en-GB"/>
        </w:rPr>
        <w:t>The implementation of PBN routes and approach procedures is being undertaken through harmonized navigation specifications and functionalities</w:t>
      </w:r>
      <w:r>
        <w:rPr>
          <w:highlight w:val="lightGray"/>
          <w:lang w:val="en-GB"/>
        </w:rPr>
        <w:t>.</w:t>
      </w:r>
      <w:r w:rsidR="00992EA9" w:rsidRPr="008F2D2D">
        <w:rPr>
          <w:highlight w:val="lightGray"/>
        </w:rPr>
        <w:t xml:space="preserve"> </w:t>
      </w:r>
    </w:p>
    <w:p w14:paraId="34ACF669" w14:textId="0D7E3727" w:rsidR="00992EA9" w:rsidRPr="008F2D2D" w:rsidRDefault="00FE366F" w:rsidP="00992EA9">
      <w:pPr>
        <w:pStyle w:val="Standardtext"/>
        <w:rPr>
          <w:highlight w:val="lightGray"/>
        </w:rPr>
      </w:pPr>
      <w:r>
        <w:rPr>
          <w:highlight w:val="lightGray"/>
        </w:rPr>
        <w:t xml:space="preserve">For EU States, </w:t>
      </w:r>
      <w:r w:rsidRPr="00FE366F">
        <w:rPr>
          <w:highlight w:val="lightGray"/>
          <w:lang w:val="en-GB"/>
        </w:rPr>
        <w:t>Regulation (EU) 2018/1048</w:t>
      </w:r>
      <w:r>
        <w:rPr>
          <w:rStyle w:val="FootnoteReference"/>
          <w:highlight w:val="lightGray"/>
          <w:lang w:val="en-GB"/>
        </w:rPr>
        <w:footnoteReference w:id="16"/>
      </w:r>
      <w:r w:rsidRPr="00FE366F">
        <w:rPr>
          <w:highlight w:val="lightGray"/>
          <w:lang w:val="en-GB"/>
        </w:rPr>
        <w:t xml:space="preserve"> prescribes the transition to a PBN environment in the single European sky (SES). </w:t>
      </w:r>
      <w:r>
        <w:rPr>
          <w:highlight w:val="lightGray"/>
        </w:rPr>
        <w:t>I</w:t>
      </w:r>
      <w:r w:rsidR="00992EA9" w:rsidRPr="008F2D2D">
        <w:rPr>
          <w:highlight w:val="lightGray"/>
        </w:rPr>
        <w:t>mplementation priorities are defined by setting three implementation milestones, namely, 3 December 2020, 25 January 2024, and 6 June 2030.</w:t>
      </w:r>
      <w:r>
        <w:rPr>
          <w:highlight w:val="lightGray"/>
        </w:rPr>
        <w:t xml:space="preserve"> Other EUR States have also various PBN implementation commitments. </w:t>
      </w:r>
    </w:p>
    <w:p w14:paraId="6A75ECE7" w14:textId="77777777" w:rsidR="00992EA9" w:rsidRPr="008F2D2D" w:rsidRDefault="00992EA9" w:rsidP="00992EA9">
      <w:pPr>
        <w:pStyle w:val="Standardtext"/>
        <w:rPr>
          <w:highlight w:val="lightGray"/>
        </w:rPr>
      </w:pPr>
      <w:r w:rsidRPr="008F2D2D">
        <w:rPr>
          <w:highlight w:val="lightGray"/>
        </w:rPr>
        <w:t xml:space="preserve">The restrictions to use most conventional navigation procedures from 6 June 2030, which are meant to be replaced by the </w:t>
      </w:r>
      <w:proofErr w:type="gramStart"/>
      <w:r w:rsidRPr="008F2D2D">
        <w:rPr>
          <w:highlight w:val="lightGray"/>
        </w:rPr>
        <w:t>aforementioned PBN</w:t>
      </w:r>
      <w:proofErr w:type="gramEnd"/>
      <w:r w:rsidRPr="008F2D2D">
        <w:rPr>
          <w:highlight w:val="lightGray"/>
        </w:rPr>
        <w:t xml:space="preserve"> routes and procedures. Then, PBN is intended to be used as the predominant means of navigation in all phases of flight, except in the event of PBN contingencies and when CAT II/III approaches are required.</w:t>
      </w:r>
    </w:p>
    <w:p w14:paraId="490E3871" w14:textId="77777777" w:rsidR="00992EA9" w:rsidRPr="00B14E24" w:rsidRDefault="00992EA9" w:rsidP="00992EA9">
      <w:pPr>
        <w:pStyle w:val="Standardtext"/>
      </w:pPr>
      <w:r w:rsidRPr="008F2D2D">
        <w:rPr>
          <w:highlight w:val="lightGray"/>
        </w:rPr>
        <w:lastRenderedPageBreak/>
        <w:t>Deployment of contingency measures by ATM/ANS service providers to deal with situations where PBN flight operations cannot be performed because the signals used to fly PBN (e.g., GNSS) are temporarily unavailable.</w:t>
      </w:r>
    </w:p>
    <w:p w14:paraId="30DE73CF" w14:textId="68E4BD65" w:rsidR="00A45FDB" w:rsidRPr="00631EF6" w:rsidRDefault="00A45FDB" w:rsidP="00A45FDB">
      <w:pPr>
        <w:spacing w:before="120" w:after="120"/>
        <w:jc w:val="both"/>
        <w:rPr>
          <w:rFonts w:asciiTheme="minorHAnsi" w:hAnsiTheme="minorHAnsi" w:cstheme="minorHAnsi"/>
          <w:sz w:val="22"/>
          <w:szCs w:val="22"/>
          <w:u w:val="single"/>
        </w:rPr>
      </w:pPr>
      <w:r w:rsidRPr="00631EF6">
        <w:rPr>
          <w:rFonts w:asciiTheme="minorHAnsi" w:hAnsiTheme="minorHAnsi" w:cstheme="minorHAnsi"/>
          <w:sz w:val="22"/>
          <w:szCs w:val="22"/>
          <w:u w:val="single"/>
        </w:rPr>
        <w:t xml:space="preserve">Cybersecurity </w:t>
      </w:r>
    </w:p>
    <w:p w14:paraId="52C9D272" w14:textId="77777777" w:rsidR="00012A1D" w:rsidRPr="00A97CA6" w:rsidRDefault="00012A1D" w:rsidP="00012A1D">
      <w:pPr>
        <w:pStyle w:val="Standardtext"/>
      </w:pPr>
      <w:r w:rsidRPr="00A97CA6">
        <w:t>The aviation sector is increasingly interconnected through digital technologies, offering substantial operational advantages while simultaneously introducing a wide array of new challenges. Chief among these is the urgent need to safeguard critical information and communications technology systems and data. Examples include next-generation aircraft equipped with real-time connectivity to ground systems, and Air Traffic Management technologies that rely on wireless communication between ground centres and aircraft.</w:t>
      </w:r>
    </w:p>
    <w:p w14:paraId="239B40E6" w14:textId="77777777" w:rsidR="00012A1D" w:rsidRPr="00A97CA6" w:rsidRDefault="00012A1D" w:rsidP="00012A1D">
      <w:pPr>
        <w:pStyle w:val="Standardtext"/>
      </w:pPr>
      <w:r w:rsidRPr="00A97CA6">
        <w:t>The digitalisation of aviation systems significantly heightens vulnerability to cyber-attacks, which can compromise system integrity and jeopardise flight safety. Addressing this risk requires a harmonised and enhanced understanding of cybersecurity principles, including system protection, security-by-design, supply chain security, redundancy, and maintenance. Equally important is the establishment of regular communication and information-sharing mechanisms across stakeholders.</w:t>
      </w:r>
    </w:p>
    <w:p w14:paraId="16157719" w14:textId="77578A18" w:rsidR="00012A1D" w:rsidRDefault="00012A1D" w:rsidP="00012A1D">
      <w:pPr>
        <w:pStyle w:val="Standardtext"/>
      </w:pPr>
      <w:r w:rsidRPr="00A97CA6">
        <w:t>It is essential that aviation authorities and industry actors collaborate to exchange knowledge and learn from one another’s experiences. This collective</w:t>
      </w:r>
      <w:r>
        <w:t xml:space="preserve">, whole domain, </w:t>
      </w:r>
      <w:r w:rsidRPr="00A97CA6">
        <w:t xml:space="preserve">effort is critical to </w:t>
      </w:r>
      <w:proofErr w:type="gramStart"/>
      <w:r w:rsidRPr="00A97CA6">
        <w:t>ensuring</w:t>
      </w:r>
      <w:proofErr w:type="gramEnd"/>
      <w:r w:rsidRPr="00A97CA6">
        <w:t xml:space="preserve"> the aviation system remains resilient against cyber threats, that incidents are effectively managed, and that business continuity is maintained. Furthermore, cybersecurity must be recognised as a cross-cutting issue that spans all aviation domains</w:t>
      </w:r>
      <w:r w:rsidR="004A28BD">
        <w:t xml:space="preserve"> </w:t>
      </w:r>
      <w:r w:rsidRPr="00A97CA6">
        <w:t>—</w:t>
      </w:r>
      <w:r w:rsidR="004A28BD">
        <w:t xml:space="preserve"> </w:t>
      </w:r>
      <w:r w:rsidRPr="00A97CA6">
        <w:t>including safety, security, and air navigation</w:t>
      </w:r>
      <w:r w:rsidR="004A28BD">
        <w:t xml:space="preserve"> </w:t>
      </w:r>
      <w:r w:rsidRPr="00A97CA6">
        <w:t>—</w:t>
      </w:r>
      <w:r w:rsidR="004A28BD">
        <w:t xml:space="preserve"> </w:t>
      </w:r>
      <w:r w:rsidRPr="00A97CA6">
        <w:t xml:space="preserve">and </w:t>
      </w:r>
      <w:proofErr w:type="gramStart"/>
      <w:r w:rsidRPr="00A97CA6">
        <w:t>demands</w:t>
      </w:r>
      <w:proofErr w:type="gramEnd"/>
      <w:r w:rsidRPr="00A97CA6">
        <w:t xml:space="preserve"> coordinated action to support a vision of a civil aviation sector that is both secure and capable of sustainable innovation and growth.</w:t>
      </w:r>
    </w:p>
    <w:p w14:paraId="6CA65C6D" w14:textId="0AD93BB2" w:rsidR="00A45FDB" w:rsidRPr="009312AE" w:rsidRDefault="00A45FDB" w:rsidP="00A45FDB">
      <w:pPr>
        <w:spacing w:before="120" w:after="120"/>
        <w:jc w:val="both"/>
        <w:rPr>
          <w:rFonts w:asciiTheme="minorHAnsi" w:hAnsiTheme="minorHAnsi" w:cstheme="minorHAnsi"/>
          <w:sz w:val="22"/>
          <w:szCs w:val="22"/>
          <w:u w:val="single"/>
        </w:rPr>
      </w:pPr>
      <w:r w:rsidRPr="009312AE">
        <w:rPr>
          <w:rFonts w:asciiTheme="minorHAnsi" w:hAnsiTheme="minorHAnsi" w:cstheme="minorHAnsi"/>
          <w:sz w:val="22"/>
          <w:szCs w:val="22"/>
          <w:u w:val="single"/>
        </w:rPr>
        <w:t xml:space="preserve">Conflict zones </w:t>
      </w:r>
    </w:p>
    <w:p w14:paraId="788C97B2" w14:textId="47437C93" w:rsidR="009D6481" w:rsidRPr="00126F90" w:rsidRDefault="009D6481" w:rsidP="009D6481">
      <w:pPr>
        <w:pStyle w:val="Standardtext"/>
      </w:pPr>
      <w:r w:rsidRPr="00126F90">
        <w:t xml:space="preserve">Military or terrorist conflicts may occur in any State at any time and pose risks to civil aviation. This is why </w:t>
      </w:r>
      <w:r w:rsidR="00B74AD7" w:rsidRPr="00126F90">
        <w:t>it i</w:t>
      </w:r>
      <w:r w:rsidR="004A28BD">
        <w:t>s</w:t>
      </w:r>
      <w:r w:rsidR="00B74AD7" w:rsidRPr="00126F90">
        <w:t xml:space="preserve"> </w:t>
      </w:r>
      <w:r w:rsidRPr="00126F90">
        <w:t xml:space="preserve">important for governments, aircraft operators, and other airspace users such as air navigation service providers (ANSPs), to work together to share the most up-to-date conflict zone risk-based information possible to assure the safety of civilian flights. </w:t>
      </w:r>
      <w:r w:rsidR="00C57EC6" w:rsidRPr="00126F90">
        <w:t>I</w:t>
      </w:r>
      <w:r w:rsidRPr="00126F90">
        <w:t xml:space="preserve">n </w:t>
      </w:r>
      <w:r w:rsidR="00B74AD7" w:rsidRPr="00126F90">
        <w:t xml:space="preserve">the </w:t>
      </w:r>
      <w:r w:rsidRPr="00126F90">
        <w:t xml:space="preserve">EUR region </w:t>
      </w:r>
      <w:r w:rsidR="00C57EC6" w:rsidRPr="00126F90">
        <w:t xml:space="preserve">those </w:t>
      </w:r>
      <w:r w:rsidRPr="00126F90">
        <w:t>risks have increased and remain under focus of regional safety activities as a safety priority.</w:t>
      </w:r>
    </w:p>
    <w:p w14:paraId="51FB5751" w14:textId="1DBB5E75" w:rsidR="005429F1" w:rsidRPr="00126F90" w:rsidRDefault="009D6481" w:rsidP="005429F1">
      <w:pPr>
        <w:pStyle w:val="Standardtext"/>
      </w:pPr>
      <w:r w:rsidRPr="00126F90">
        <w:t xml:space="preserve">Per their responsibilities as signatories to the Convention on International Civil Aviation (Chicago Convention), ICAO Member States are obliged to promptly communicate potential risks to safe and secure civil aviation operations in their sovereign or delegated airspace, including those relating to conflict zones. In addition, the airlines registered in States should also conduct their own proprietary conflict zone risk assessments, </w:t>
      </w:r>
      <w:proofErr w:type="gramStart"/>
      <w:r w:rsidRPr="00126F90">
        <w:t>in order to</w:t>
      </w:r>
      <w:proofErr w:type="gramEnd"/>
      <w:r w:rsidRPr="00126F90">
        <w:t xml:space="preserve"> safely plan their routes and operations based on the latest information available.</w:t>
      </w:r>
      <w:r w:rsidR="005429F1" w:rsidRPr="00126F90">
        <w:t xml:space="preserve"> To address this requirement the industry has adopted several tools to access information on conflict zones.</w:t>
      </w:r>
    </w:p>
    <w:p w14:paraId="01215FDF" w14:textId="209C6C54" w:rsidR="009D6481" w:rsidRPr="00126F90" w:rsidRDefault="009D6481" w:rsidP="009D6481">
      <w:pPr>
        <w:pStyle w:val="Standardtext"/>
      </w:pPr>
      <w:r w:rsidRPr="00126F90">
        <w:t>To support these safety risk mitigation actions ICAO amended its provisions and issued guidance to assist States, operators and ANSPs regarding conflict zone risks: Doc 10084, Risk Assessment Manual for Civil Aircraft Operations Over or Near Conflict Zones.</w:t>
      </w:r>
    </w:p>
    <w:p w14:paraId="71AF8405" w14:textId="5E46D988" w:rsidR="002A7C48" w:rsidRDefault="009D6481" w:rsidP="0005320F">
      <w:pPr>
        <w:pStyle w:val="Standardtext"/>
      </w:pPr>
      <w:r w:rsidRPr="00E745A4">
        <w:t xml:space="preserve">In European </w:t>
      </w:r>
      <w:proofErr w:type="gramStart"/>
      <w:r w:rsidRPr="00E745A4">
        <w:t>Union area</w:t>
      </w:r>
      <w:proofErr w:type="gramEnd"/>
      <w:r w:rsidRPr="00E745A4">
        <w:t xml:space="preserve"> </w:t>
      </w:r>
      <w:r w:rsidR="002A7C48" w:rsidRPr="00E745A4">
        <w:rPr>
          <w:shd w:val="clear" w:color="auto" w:fill="FFFFFF" w:themeFill="background1"/>
        </w:rPr>
        <w:t xml:space="preserve">Member States, European Institutions and EASA have established an alerting system with the objective of </w:t>
      </w:r>
      <w:r w:rsidR="007F1CBA" w:rsidRPr="00E745A4">
        <w:rPr>
          <w:shd w:val="clear" w:color="auto" w:fill="FFFFFF" w:themeFill="background1"/>
        </w:rPr>
        <w:t>joining</w:t>
      </w:r>
      <w:r w:rsidR="002A7C48" w:rsidRPr="00E745A4">
        <w:rPr>
          <w:shd w:val="clear" w:color="auto" w:fill="FFFFFF" w:themeFill="background1"/>
        </w:rPr>
        <w:t xml:space="preserve"> available intelligence sources and conflict zone risk assessment capabilities </w:t>
      </w:r>
      <w:proofErr w:type="gramStart"/>
      <w:r w:rsidR="002A7C48" w:rsidRPr="00E745A4">
        <w:rPr>
          <w:shd w:val="clear" w:color="auto" w:fill="FFFFFF" w:themeFill="background1"/>
        </w:rPr>
        <w:t>in order to</w:t>
      </w:r>
      <w:proofErr w:type="gramEnd"/>
      <w:r w:rsidR="002A7C48" w:rsidRPr="00E745A4">
        <w:rPr>
          <w:shd w:val="clear" w:color="auto" w:fill="FFFFFF" w:themeFill="background1"/>
        </w:rPr>
        <w:t xml:space="preserve"> enable the publication of information and recommendations on conflict zone risks in a timely manner. It complements national infrastructure mechanisms, when they exist, by adding, when possible, a European level common risk picture and corresponding recommendations.</w:t>
      </w:r>
      <w:r w:rsidR="002A7C48" w:rsidRPr="009D6481">
        <w:t xml:space="preserve"> </w:t>
      </w:r>
    </w:p>
    <w:p w14:paraId="13B914B0" w14:textId="77777777" w:rsidR="00954FE0" w:rsidRPr="00E13951" w:rsidRDefault="00954FE0" w:rsidP="00954FE0">
      <w:pPr>
        <w:spacing w:before="120" w:after="120"/>
        <w:jc w:val="both"/>
        <w:rPr>
          <w:rFonts w:asciiTheme="minorHAnsi" w:hAnsiTheme="minorHAnsi" w:cstheme="minorHAnsi"/>
          <w:sz w:val="22"/>
          <w:szCs w:val="22"/>
        </w:rPr>
      </w:pPr>
      <w:r w:rsidRPr="00E13951">
        <w:rPr>
          <w:rFonts w:asciiTheme="minorHAnsi" w:hAnsiTheme="minorHAnsi" w:cstheme="minorHAnsi"/>
          <w:sz w:val="22"/>
          <w:szCs w:val="22"/>
        </w:rPr>
        <w:t>Overall, this area presents:</w:t>
      </w:r>
    </w:p>
    <w:p w14:paraId="3E5B650D" w14:textId="6694AE6A" w:rsidR="00954FE0" w:rsidRPr="00E13951" w:rsidRDefault="00954FE0">
      <w:pPr>
        <w:pStyle w:val="ListParagraph"/>
        <w:numPr>
          <w:ilvl w:val="0"/>
          <w:numId w:val="30"/>
        </w:numPr>
        <w:rPr>
          <w:rFonts w:asciiTheme="minorHAnsi" w:hAnsiTheme="minorHAnsi" w:cstheme="minorHAnsi"/>
          <w:sz w:val="22"/>
          <w:szCs w:val="28"/>
          <w:lang w:val="en-US"/>
        </w:rPr>
      </w:pPr>
      <w:r w:rsidRPr="00E13951">
        <w:rPr>
          <w:rFonts w:asciiTheme="minorHAnsi" w:hAnsiTheme="minorHAnsi" w:cstheme="minorHAnsi"/>
          <w:sz w:val="22"/>
          <w:szCs w:val="28"/>
          <w:lang w:val="en-US"/>
        </w:rPr>
        <w:t>Impact of security on safety</w:t>
      </w:r>
    </w:p>
    <w:p w14:paraId="63E56F23" w14:textId="455E6D93" w:rsidR="001614AD" w:rsidRPr="00631EF6" w:rsidRDefault="001614AD">
      <w:pPr>
        <w:pStyle w:val="Heading2"/>
        <w:numPr>
          <w:ilvl w:val="1"/>
          <w:numId w:val="33"/>
        </w:numPr>
        <w:ind w:left="567" w:hanging="567"/>
      </w:pPr>
      <w:bookmarkStart w:id="164" w:name="_Toc213138001"/>
      <w:r w:rsidRPr="00631EF6">
        <w:lastRenderedPageBreak/>
        <w:t>Civil-military coordination and co</w:t>
      </w:r>
      <w:r w:rsidRPr="00631EF6">
        <w:rPr>
          <w:bCs w:val="0"/>
        </w:rPr>
        <w:t>operation</w:t>
      </w:r>
      <w:bookmarkEnd w:id="164"/>
      <w:r w:rsidRPr="00631EF6">
        <w:t xml:space="preserve"> </w:t>
      </w:r>
    </w:p>
    <w:p w14:paraId="774348B3" w14:textId="00970A81" w:rsidR="001B79EE" w:rsidRPr="00126F90" w:rsidRDefault="001B79EE" w:rsidP="00D2100B">
      <w:pPr>
        <w:pStyle w:val="Standardtext"/>
        <w:rPr>
          <w:rFonts w:eastAsia="Calibri"/>
        </w:rPr>
      </w:pPr>
      <w:r w:rsidRPr="00126F90">
        <w:rPr>
          <w:rFonts w:eastAsia="Calibri"/>
        </w:rPr>
        <w:t xml:space="preserve">The global evolution of the ATM system guided by the Global Air Navigation Plan (Doc 9750) requires global, regional, and national cooperation between civil and State aviation authorities to ensure integration of State aviation needs and ensure planning by the State aviation authorities of the implementation of the ATM evolution. As airspace becomes more of a scarce and sought after resource, States need to take a balanced approach to airspace management.  The airspace requirements of all civil and State (including military) users should be accommodated on a fair and equitable basis while respecting State sovereignty, national and international security, </w:t>
      </w:r>
      <w:r w:rsidR="00D562A9" w:rsidRPr="00126F90">
        <w:rPr>
          <w:rFonts w:eastAsia="Calibri"/>
        </w:rPr>
        <w:t>defense</w:t>
      </w:r>
      <w:r w:rsidRPr="00126F90">
        <w:rPr>
          <w:rFonts w:eastAsia="Calibri"/>
        </w:rPr>
        <w:t xml:space="preserve"> and law enforcement obligations.</w:t>
      </w:r>
    </w:p>
    <w:p w14:paraId="6B4903EB" w14:textId="476C0D71" w:rsidR="001B79EE" w:rsidRPr="00631EF6" w:rsidRDefault="001B79EE" w:rsidP="00D2100B">
      <w:pPr>
        <w:pStyle w:val="Standardtext"/>
        <w:rPr>
          <w:rFonts w:eastAsia="Calibri"/>
        </w:rPr>
      </w:pPr>
      <w:r w:rsidRPr="00126F90">
        <w:rPr>
          <w:rFonts w:eastAsia="Calibri"/>
        </w:rPr>
        <w:t xml:space="preserve">Civil and military operations differ in nature and in purpose. While civil aviation supports global interaction and </w:t>
      </w:r>
      <w:r w:rsidR="00E914A6" w:rsidRPr="00126F90">
        <w:rPr>
          <w:rFonts w:eastAsia="Calibri"/>
        </w:rPr>
        <w:t>contribut</w:t>
      </w:r>
      <w:r w:rsidR="00E914A6">
        <w:rPr>
          <w:rFonts w:eastAsia="Calibri"/>
        </w:rPr>
        <w:t>es</w:t>
      </w:r>
      <w:r w:rsidRPr="00126F90">
        <w:rPr>
          <w:rFonts w:eastAsia="Calibri"/>
        </w:rPr>
        <w:t xml:space="preserve"> to the global economy, military operations are conducted for national security or </w:t>
      </w:r>
      <w:r w:rsidR="00D562A9" w:rsidRPr="00126F90">
        <w:rPr>
          <w:rFonts w:eastAsia="Calibri"/>
        </w:rPr>
        <w:t>defense</w:t>
      </w:r>
      <w:r w:rsidRPr="00126F90">
        <w:rPr>
          <w:rFonts w:eastAsia="Calibri"/>
        </w:rPr>
        <w:t xml:space="preserve"> reasons. However, both types of operations take place in a single continuum of airspace and, therefore, civil aviation and military stakeholders </w:t>
      </w:r>
      <w:r w:rsidRPr="00E13951">
        <w:rPr>
          <w:rFonts w:eastAsia="Calibri"/>
        </w:rPr>
        <w:t>need to cooperate to ensure their mutual safety. Successful cooperation is based on transparency and understanding</w:t>
      </w:r>
      <w:r w:rsidR="00D76F31" w:rsidRPr="00E13951">
        <w:rPr>
          <w:rFonts w:eastAsia="Calibri"/>
        </w:rPr>
        <w:t xml:space="preserve"> of operational parameters</w:t>
      </w:r>
      <w:r w:rsidRPr="00E13951">
        <w:rPr>
          <w:rFonts w:eastAsia="Calibri"/>
        </w:rPr>
        <w:t xml:space="preserve">. </w:t>
      </w:r>
      <w:r w:rsidRPr="00E13951">
        <w:t xml:space="preserve">Optimizing airspace for both civil </w:t>
      </w:r>
      <w:r w:rsidR="00CC429D">
        <w:t xml:space="preserve">aviation </w:t>
      </w:r>
      <w:r w:rsidRPr="00E13951">
        <w:t xml:space="preserve">and military operations </w:t>
      </w:r>
      <w:r w:rsidR="007F1CBA" w:rsidRPr="00E13951">
        <w:t>result</w:t>
      </w:r>
      <w:r w:rsidRPr="00E13951">
        <w:t xml:space="preserve"> in nation-wide benefits. The flexible use of airspace (FUA) is a fundamental aspect in supporting the optimization process. It is recommended that civil and military experts jointly develop advice and guidance on the best practices for civil</w:t>
      </w:r>
      <w:r w:rsidRPr="00D2100B">
        <w:t>-military cooperation and coordination</w:t>
      </w:r>
      <w:r w:rsidRPr="00D2100B">
        <w:rPr>
          <w:rFonts w:eastAsia="Calibri"/>
        </w:rPr>
        <w:t xml:space="preserve">, </w:t>
      </w:r>
      <w:proofErr w:type="gramStart"/>
      <w:r w:rsidR="007F1CBA" w:rsidRPr="00D2100B">
        <w:rPr>
          <w:rFonts w:eastAsia="Calibri"/>
        </w:rPr>
        <w:t>including</w:t>
      </w:r>
      <w:r w:rsidRPr="00D2100B">
        <w:rPr>
          <w:rFonts w:eastAsia="Calibri"/>
        </w:rPr>
        <w:t xml:space="preserve"> </w:t>
      </w:r>
      <w:r w:rsidR="007F1CBA">
        <w:rPr>
          <w:rFonts w:eastAsia="Calibri"/>
        </w:rPr>
        <w:t>at</w:t>
      </w:r>
      <w:proofErr w:type="gramEnd"/>
      <w:r w:rsidR="007F1CBA">
        <w:rPr>
          <w:rFonts w:eastAsia="Calibri"/>
        </w:rPr>
        <w:t xml:space="preserve"> the </w:t>
      </w:r>
      <w:r w:rsidRPr="00D2100B">
        <w:rPr>
          <w:rFonts w:eastAsia="Calibri"/>
        </w:rPr>
        <w:t>level of State safety management. The principle “as civil as possible-as military as necessary” intends to enhance interoperability, performance and military mission effectiveness for military authorities, while providing performance benefits for the whole aviation system.</w:t>
      </w:r>
    </w:p>
    <w:p w14:paraId="35C75E99" w14:textId="2F9855B8" w:rsidR="001614AD" w:rsidRPr="007511BA" w:rsidRDefault="001614AD" w:rsidP="00D2100B">
      <w:pPr>
        <w:pStyle w:val="Standardtext"/>
        <w:rPr>
          <w:u w:val="single"/>
        </w:rPr>
      </w:pPr>
      <w:r w:rsidRPr="007511BA">
        <w:rPr>
          <w:u w:val="single"/>
        </w:rPr>
        <w:t>Airworthiness</w:t>
      </w:r>
    </w:p>
    <w:p w14:paraId="3C84E5DB" w14:textId="390BAE09" w:rsidR="001614AD" w:rsidRPr="00631EF6" w:rsidRDefault="001614AD" w:rsidP="00D2100B">
      <w:pPr>
        <w:pStyle w:val="Standardtext"/>
        <w:rPr>
          <w:rFonts w:eastAsia="Calibri"/>
        </w:rPr>
      </w:pPr>
      <w:r w:rsidRPr="00631EF6">
        <w:rPr>
          <w:rFonts w:eastAsia="Calibri"/>
        </w:rPr>
        <w:t xml:space="preserve">Military aviation is the prerogative and the responsibility of a Member States, it would be beneficial from committing further to leverage and consolidate efforts by both civil and military in developing their aviation capabilities by </w:t>
      </w:r>
      <w:r w:rsidR="008572C8" w:rsidRPr="00631EF6">
        <w:rPr>
          <w:rFonts w:eastAsia="Calibri"/>
        </w:rPr>
        <w:t xml:space="preserve">applying the performance equivalence approach. </w:t>
      </w:r>
    </w:p>
    <w:p w14:paraId="512A9A3B" w14:textId="320E681C" w:rsidR="001614AD" w:rsidRPr="007511BA" w:rsidRDefault="001614AD" w:rsidP="00D2100B">
      <w:pPr>
        <w:pStyle w:val="Standardtext"/>
        <w:rPr>
          <w:u w:val="single"/>
        </w:rPr>
      </w:pPr>
      <w:r w:rsidRPr="007511BA">
        <w:rPr>
          <w:u w:val="single"/>
        </w:rPr>
        <w:t>Safety intelligence and performance domains</w:t>
      </w:r>
    </w:p>
    <w:p w14:paraId="6A6B9F99" w14:textId="10207207" w:rsidR="001614AD" w:rsidRPr="00631EF6" w:rsidRDefault="001614AD" w:rsidP="00D2100B">
      <w:pPr>
        <w:pStyle w:val="Standardtext"/>
        <w:rPr>
          <w:rFonts w:eastAsia="Calibri"/>
        </w:rPr>
      </w:pPr>
      <w:r w:rsidRPr="00631EF6">
        <w:rPr>
          <w:rFonts w:eastAsia="Calibri"/>
        </w:rPr>
        <w:t>The timely and accurate reporting of safety information at European level and beyond is critical to verify the achievement of global safety objectives and monitor the implementation of safety programme initiatives, including EPAS and EUR</w:t>
      </w:r>
      <w:r w:rsidR="008572C8" w:rsidRPr="00631EF6">
        <w:rPr>
          <w:rFonts w:eastAsia="Calibri"/>
        </w:rPr>
        <w:t xml:space="preserve"> </w:t>
      </w:r>
      <w:r w:rsidRPr="00631EF6">
        <w:rPr>
          <w:rFonts w:eastAsia="Calibri"/>
        </w:rPr>
        <w:t>RASP.</w:t>
      </w:r>
    </w:p>
    <w:p w14:paraId="2E25B11B" w14:textId="0BBC9C5D" w:rsidR="005377CA" w:rsidRPr="00631EF6" w:rsidRDefault="005377CA" w:rsidP="00D2100B">
      <w:pPr>
        <w:pStyle w:val="Standardtext"/>
        <w:rPr>
          <w:rFonts w:eastAsia="Calibri"/>
        </w:rPr>
      </w:pPr>
      <w:r w:rsidRPr="00631EF6">
        <w:rPr>
          <w:rFonts w:eastAsia="Calibri"/>
        </w:rPr>
        <w:t xml:space="preserve">Reliable military safety data sharing, primarily for military aerodromes open to public use and civil derivative aircraft, as well as dual-used platforms (mainly rotorcraft but also fixed wings in transport or training type operations), would provide perspectives that are both global in nature as well as specific to individual areas, such as rotorcraft, where a substantial fleet is operated by the military. </w:t>
      </w:r>
    </w:p>
    <w:p w14:paraId="6FA22831" w14:textId="77777777" w:rsidR="001614AD" w:rsidRPr="00631EF6" w:rsidRDefault="001614AD" w:rsidP="00D2100B">
      <w:pPr>
        <w:pStyle w:val="Standardtext"/>
        <w:rPr>
          <w:rFonts w:eastAsia="Calibri"/>
        </w:rPr>
      </w:pPr>
      <w:r w:rsidRPr="00631EF6">
        <w:rPr>
          <w:rFonts w:eastAsia="Calibri"/>
        </w:rPr>
        <w:t xml:space="preserve">Going forward, tools to allow for a comprehensive assessment of safety performance, including State and military aircraft, would be of strong benefit to the entire aviation system and would support the goal of ensuring the highest common level of safety and environmental protection for the European aviation system. </w:t>
      </w:r>
    </w:p>
    <w:p w14:paraId="3AECC208" w14:textId="4CFC6732" w:rsidR="001614AD" w:rsidRPr="007511BA" w:rsidRDefault="001614AD" w:rsidP="00D2100B">
      <w:pPr>
        <w:pStyle w:val="Standardtext"/>
        <w:rPr>
          <w:u w:val="single"/>
        </w:rPr>
      </w:pPr>
      <w:r w:rsidRPr="007511BA">
        <w:rPr>
          <w:u w:val="single"/>
        </w:rPr>
        <w:t>Aviation security (including cybersecurity)</w:t>
      </w:r>
    </w:p>
    <w:p w14:paraId="27DC8BD8" w14:textId="77DEA655" w:rsidR="001614AD" w:rsidRPr="00631EF6" w:rsidRDefault="001614AD" w:rsidP="00D2100B">
      <w:pPr>
        <w:pStyle w:val="Standardtext"/>
        <w:rPr>
          <w:rFonts w:eastAsia="Calibri"/>
        </w:rPr>
      </w:pPr>
      <w:r w:rsidRPr="00631EF6">
        <w:rPr>
          <w:rFonts w:eastAsia="Calibri"/>
        </w:rPr>
        <w:t>There is a shared understanding and growing concern within the military community that security and especially cybersecurity may introduce considerable risk for aviation, as systems on board aircraft and the European ATM System rely on increased connectivity. Moreover, effectively mitigating cyber-related risks is key to enabling unmanned aircraft systems (UAS) (or drones)</w:t>
      </w:r>
      <w:r w:rsidRPr="00631EF6">
        <w:rPr>
          <w:rStyle w:val="FootnoteReference"/>
          <w:rFonts w:asciiTheme="minorHAnsi" w:eastAsia="Calibri" w:hAnsiTheme="minorHAnsi" w:cstheme="minorHAnsi"/>
        </w:rPr>
        <w:footnoteReference w:id="17"/>
      </w:r>
      <w:r w:rsidRPr="00631EF6">
        <w:rPr>
          <w:rFonts w:eastAsia="Calibri"/>
        </w:rPr>
        <w:t xml:space="preserve"> integration into non-segregated airspace. </w:t>
      </w:r>
      <w:r w:rsidR="005377CA" w:rsidRPr="00631EF6">
        <w:rPr>
          <w:rFonts w:eastAsia="Calibri"/>
        </w:rPr>
        <w:lastRenderedPageBreak/>
        <w:t>Moreover, close cooperation with the military stakeholders is also essential in scenarios where Counter UAS</w:t>
      </w:r>
      <w:r w:rsidR="00AF5A9F" w:rsidRPr="00631EF6">
        <w:rPr>
          <w:rFonts w:eastAsia="Calibri"/>
        </w:rPr>
        <w:t xml:space="preserve"> (C-UAS)</w:t>
      </w:r>
      <w:r w:rsidR="005377CA" w:rsidRPr="00631EF6">
        <w:rPr>
          <w:rFonts w:eastAsia="Calibri"/>
        </w:rPr>
        <w:t xml:space="preserve"> measures would have to be developed and implemented.</w:t>
      </w:r>
    </w:p>
    <w:p w14:paraId="52ED9643" w14:textId="77777777" w:rsidR="001614AD" w:rsidRPr="00631EF6" w:rsidRDefault="001614AD" w:rsidP="00D2100B">
      <w:pPr>
        <w:pStyle w:val="Standardtext"/>
        <w:rPr>
          <w:rFonts w:eastAsia="Calibri"/>
        </w:rPr>
      </w:pPr>
      <w:r w:rsidRPr="00631EF6">
        <w:rPr>
          <w:rFonts w:eastAsia="Calibri"/>
        </w:rPr>
        <w:t>The strategic orientations adopted by EASA in developing its cybersecurity roadmap and the setting up of the European Strategic Coordination Platform (ESCP) provide the military with an opportunity to cooperate in an area of common interest in the wider context of the European aviation system.</w:t>
      </w:r>
    </w:p>
    <w:p w14:paraId="7FAA7C66" w14:textId="6418F1AA" w:rsidR="001614AD" w:rsidRPr="0089034E" w:rsidRDefault="001614AD" w:rsidP="00D2100B">
      <w:pPr>
        <w:pStyle w:val="Standardtext"/>
        <w:rPr>
          <w:u w:val="single"/>
        </w:rPr>
      </w:pPr>
      <w:r w:rsidRPr="0089034E">
        <w:rPr>
          <w:u w:val="single"/>
        </w:rPr>
        <w:t xml:space="preserve">Airspace, ANS, aerodromes open to public use </w:t>
      </w:r>
    </w:p>
    <w:p w14:paraId="4A73631E" w14:textId="77777777" w:rsidR="001614AD" w:rsidRPr="00631EF6" w:rsidRDefault="001614AD" w:rsidP="00D2100B">
      <w:pPr>
        <w:pStyle w:val="Standardtext"/>
        <w:rPr>
          <w:rFonts w:eastAsia="Calibri"/>
        </w:rPr>
      </w:pPr>
      <w:r w:rsidRPr="00631EF6">
        <w:rPr>
          <w:rFonts w:eastAsia="Calibri"/>
        </w:rPr>
        <w:t>To meet the aerodrome challenges of delivering sufficient capacity, civil and military aerodromes will need to make progress to achieve a seamless airspace and globally harmonised ANS, where civil-military cooperation is a crucial element to foster in the transition process.</w:t>
      </w:r>
    </w:p>
    <w:p w14:paraId="47AE5EB9" w14:textId="77777777" w:rsidR="001614AD" w:rsidRPr="00631EF6" w:rsidRDefault="001614AD" w:rsidP="00D2100B">
      <w:pPr>
        <w:pStyle w:val="Standardtext"/>
        <w:rPr>
          <w:rFonts w:eastAsia="Calibri"/>
        </w:rPr>
      </w:pPr>
      <w:r w:rsidRPr="00631EF6">
        <w:rPr>
          <w:rFonts w:eastAsia="Calibri"/>
        </w:rPr>
        <w:t>Key to successful cooperation is the establishment of trust and transparency so that the needs and requirements of civil and military aerodromes and services providers could be fully understood and that over time an integrated model could be achieved.</w:t>
      </w:r>
    </w:p>
    <w:p w14:paraId="54701F1D" w14:textId="77777777" w:rsidR="00A24DF9" w:rsidRDefault="001614AD" w:rsidP="00D2100B">
      <w:pPr>
        <w:pStyle w:val="Standardtext"/>
        <w:rPr>
          <w:rFonts w:eastAsia="Calibri"/>
        </w:rPr>
      </w:pPr>
      <w:r w:rsidRPr="00631EF6">
        <w:rPr>
          <w:rFonts w:eastAsia="Calibri"/>
        </w:rPr>
        <w:t xml:space="preserve">With a regional approach in areas of highly fragmented airspace and aerodromes open to public use, certain facilities and services shall be arranged so as to ensure the safety, regularity and efficiency of civil aviation as well as to </w:t>
      </w:r>
      <w:r w:rsidR="00B84F05" w:rsidRPr="00631EF6">
        <w:rPr>
          <w:rFonts w:eastAsia="Calibri"/>
        </w:rPr>
        <w:t>warrant</w:t>
      </w:r>
      <w:r w:rsidRPr="00631EF6">
        <w:rPr>
          <w:rFonts w:eastAsia="Calibri"/>
        </w:rPr>
        <w:t xml:space="preserve"> th</w:t>
      </w:r>
      <w:r w:rsidR="00B84F05" w:rsidRPr="00631EF6">
        <w:rPr>
          <w:rFonts w:eastAsia="Calibri"/>
        </w:rPr>
        <w:t>at th</w:t>
      </w:r>
      <w:r w:rsidRPr="00631EF6">
        <w:rPr>
          <w:rFonts w:eastAsia="Calibri"/>
        </w:rPr>
        <w:t xml:space="preserve">e requirements </w:t>
      </w:r>
      <w:r w:rsidR="00B84F05" w:rsidRPr="00631EF6">
        <w:rPr>
          <w:rFonts w:eastAsia="Calibri"/>
        </w:rPr>
        <w:t xml:space="preserve">for </w:t>
      </w:r>
      <w:r w:rsidRPr="00631EF6">
        <w:rPr>
          <w:rFonts w:eastAsia="Calibri"/>
        </w:rPr>
        <w:t>military air operations are met, in particular by promoting a common understanding of key principles, sharing best practices and monitoring their practical implementation</w:t>
      </w:r>
      <w:r w:rsidR="00627B2B" w:rsidRPr="00631EF6">
        <w:rPr>
          <w:rFonts w:eastAsia="Calibri"/>
        </w:rPr>
        <w:t>.</w:t>
      </w:r>
      <w:bookmarkStart w:id="165" w:name="_Toc32504595"/>
    </w:p>
    <w:p w14:paraId="042F7BC2" w14:textId="77777777" w:rsidR="00954FE0" w:rsidRPr="00E13951" w:rsidRDefault="00954FE0" w:rsidP="00954FE0">
      <w:pPr>
        <w:spacing w:before="120" w:after="120"/>
        <w:jc w:val="both"/>
        <w:rPr>
          <w:rFonts w:asciiTheme="minorHAnsi" w:hAnsiTheme="minorHAnsi" w:cstheme="minorHAnsi"/>
          <w:sz w:val="22"/>
          <w:szCs w:val="22"/>
        </w:rPr>
      </w:pPr>
      <w:r w:rsidRPr="00E13951">
        <w:rPr>
          <w:rFonts w:asciiTheme="minorHAnsi" w:hAnsiTheme="minorHAnsi" w:cstheme="minorHAnsi"/>
          <w:sz w:val="22"/>
          <w:szCs w:val="22"/>
        </w:rPr>
        <w:t>Overall, this area presents:</w:t>
      </w:r>
    </w:p>
    <w:p w14:paraId="4461D1B1" w14:textId="77777777" w:rsidR="00954FE0" w:rsidRPr="00E13951" w:rsidRDefault="00954FE0">
      <w:pPr>
        <w:pStyle w:val="ListParagraph"/>
        <w:numPr>
          <w:ilvl w:val="0"/>
          <w:numId w:val="30"/>
        </w:numPr>
        <w:rPr>
          <w:rFonts w:asciiTheme="minorHAnsi" w:hAnsiTheme="minorHAnsi" w:cstheme="minorHAnsi"/>
          <w:sz w:val="22"/>
          <w:szCs w:val="28"/>
          <w:lang w:val="en-US"/>
        </w:rPr>
      </w:pPr>
      <w:r w:rsidRPr="00E13951">
        <w:rPr>
          <w:rFonts w:asciiTheme="minorHAnsi" w:hAnsiTheme="minorHAnsi" w:cstheme="minorHAnsi"/>
          <w:sz w:val="22"/>
          <w:szCs w:val="28"/>
          <w:lang w:val="en-US"/>
        </w:rPr>
        <w:t xml:space="preserve">Civil-military coordination and cooperation </w:t>
      </w:r>
    </w:p>
    <w:p w14:paraId="12F1586A" w14:textId="126D9D53" w:rsidR="00FD673D" w:rsidRPr="00A24DF9" w:rsidRDefault="00FD673D" w:rsidP="0005320F">
      <w:pPr>
        <w:pStyle w:val="Standardtext"/>
        <w:rPr>
          <w:lang w:val="en-GB"/>
        </w:rPr>
      </w:pPr>
    </w:p>
    <w:p w14:paraId="1CE2C88E" w14:textId="77777777" w:rsidR="003248BE" w:rsidRDefault="003248BE" w:rsidP="00BF1E29">
      <w:pPr>
        <w:spacing w:after="120"/>
        <w:jc w:val="both"/>
        <w:rPr>
          <w:rFonts w:asciiTheme="minorHAnsi" w:hAnsiTheme="minorHAnsi" w:cstheme="majorHAnsi"/>
          <w:sz w:val="22"/>
          <w:szCs w:val="22"/>
          <w:lang w:val="en-US"/>
        </w:rPr>
        <w:sectPr w:rsidR="003248BE" w:rsidSect="00E521FE">
          <w:headerReference w:type="default" r:id="rId28"/>
          <w:pgSz w:w="11906" w:h="16838" w:code="9"/>
          <w:pgMar w:top="1134" w:right="1134" w:bottom="902" w:left="1134" w:header="709" w:footer="493" w:gutter="0"/>
          <w:cols w:space="708"/>
          <w:docGrid w:linePitch="360"/>
        </w:sectPr>
      </w:pPr>
      <w:bookmarkStart w:id="166" w:name="_Toc87627001"/>
      <w:bookmarkStart w:id="167" w:name="_Toc462754133"/>
      <w:bookmarkStart w:id="168" w:name="_Toc462756621"/>
      <w:bookmarkStart w:id="169" w:name="_Toc462759110"/>
      <w:bookmarkStart w:id="170" w:name="_Toc462761598"/>
      <w:bookmarkEnd w:id="165"/>
      <w:bookmarkEnd w:id="166"/>
      <w:bookmarkEnd w:id="167"/>
      <w:bookmarkEnd w:id="168"/>
      <w:bookmarkEnd w:id="169"/>
      <w:bookmarkEnd w:id="170"/>
    </w:p>
    <w:p w14:paraId="7F41F0BC" w14:textId="77777777" w:rsidR="000D1929" w:rsidRDefault="000D1929" w:rsidP="0082694A">
      <w:pPr>
        <w:pStyle w:val="Heading1"/>
      </w:pPr>
      <w:bookmarkStart w:id="171" w:name="_Toc213138002"/>
      <w:r w:rsidRPr="00031D6D">
        <w:lastRenderedPageBreak/>
        <w:t>Strategic direction for the management of aviation safety</w:t>
      </w:r>
      <w:bookmarkEnd w:id="171"/>
    </w:p>
    <w:p w14:paraId="69E887EF" w14:textId="110352F9" w:rsidR="00992EA9" w:rsidRPr="004A07BC" w:rsidRDefault="00992EA9" w:rsidP="00992EA9">
      <w:pPr>
        <w:pStyle w:val="Standardtext"/>
      </w:pPr>
      <w:r w:rsidRPr="004A07BC">
        <w:t xml:space="preserve">The </w:t>
      </w:r>
      <w:r>
        <w:t xml:space="preserve">EUR </w:t>
      </w:r>
      <w:r w:rsidRPr="004A07BC">
        <w:t>RASP includes the following regional safety goals and targets for the management of aviation safety, as well as a series of indicators to monitor the progress made towards their achievement. They are tied to the goals, targets and indicators listed in the GASP and include additional regional safety goals, targets and indicators.</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20" w:firstRow="1" w:lastRow="0" w:firstColumn="0" w:lastColumn="0" w:noHBand="0" w:noVBand="1"/>
      </w:tblPr>
      <w:tblGrid>
        <w:gridCol w:w="3199"/>
        <w:gridCol w:w="1731"/>
        <w:gridCol w:w="4691"/>
        <w:gridCol w:w="11"/>
      </w:tblGrid>
      <w:tr w:rsidR="000D1929" w:rsidRPr="005B12F5" w14:paraId="1E0821BA" w14:textId="77777777" w:rsidTr="00992EA9">
        <w:trPr>
          <w:tblHeader/>
        </w:trPr>
        <w:tc>
          <w:tcPr>
            <w:tcW w:w="1661" w:type="pct"/>
            <w:tcBorders>
              <w:top w:val="single" w:sz="2" w:space="0" w:color="000000"/>
              <w:left w:val="single" w:sz="2" w:space="0" w:color="000000"/>
              <w:bottom w:val="single" w:sz="2" w:space="0" w:color="000000"/>
              <w:right w:val="single" w:sz="2" w:space="0" w:color="000000"/>
            </w:tcBorders>
            <w:shd w:val="clear" w:color="auto" w:fill="1F497D" w:themeFill="text2"/>
            <w:tcMar>
              <w:top w:w="120" w:type="dxa"/>
              <w:left w:w="120" w:type="dxa"/>
              <w:bottom w:w="120" w:type="dxa"/>
              <w:right w:w="120" w:type="dxa"/>
            </w:tcMar>
            <w:vAlign w:val="center"/>
            <w:hideMark/>
          </w:tcPr>
          <w:p w14:paraId="41764242" w14:textId="77777777" w:rsidR="000D1929" w:rsidRPr="0008053E" w:rsidRDefault="000D1929" w:rsidP="00D91489">
            <w:pPr>
              <w:jc w:val="center"/>
              <w:rPr>
                <w:b/>
                <w:color w:val="EEECE1" w:themeColor="background2"/>
              </w:rPr>
            </w:pPr>
            <w:r w:rsidRPr="0008053E">
              <w:rPr>
                <w:b/>
                <w:color w:val="EEECE1" w:themeColor="background2"/>
              </w:rPr>
              <w:t xml:space="preserve">EUR </w:t>
            </w:r>
            <w:r>
              <w:rPr>
                <w:b/>
                <w:color w:val="EEECE1" w:themeColor="background2"/>
              </w:rPr>
              <w:t xml:space="preserve">RASP </w:t>
            </w:r>
            <w:r w:rsidRPr="0008053E">
              <w:rPr>
                <w:b/>
                <w:color w:val="EEECE1" w:themeColor="background2"/>
              </w:rPr>
              <w:t>Target</w:t>
            </w:r>
          </w:p>
        </w:tc>
        <w:tc>
          <w:tcPr>
            <w:tcW w:w="899" w:type="pct"/>
            <w:tcBorders>
              <w:top w:val="single" w:sz="2" w:space="0" w:color="000000"/>
              <w:left w:val="single" w:sz="2" w:space="0" w:color="000000"/>
              <w:bottom w:val="single" w:sz="2" w:space="0" w:color="000000"/>
              <w:right w:val="single" w:sz="2" w:space="0" w:color="000000"/>
            </w:tcBorders>
            <w:shd w:val="clear" w:color="auto" w:fill="1F497D" w:themeFill="text2"/>
          </w:tcPr>
          <w:p w14:paraId="70D8BA83" w14:textId="77777777" w:rsidR="000D1929" w:rsidRPr="0008053E" w:rsidRDefault="000D1929" w:rsidP="00D91489">
            <w:pPr>
              <w:jc w:val="center"/>
              <w:rPr>
                <w:b/>
                <w:color w:val="EEECE1" w:themeColor="background2"/>
              </w:rPr>
            </w:pPr>
            <w:r>
              <w:rPr>
                <w:b/>
                <w:color w:val="EEECE1" w:themeColor="background2"/>
              </w:rPr>
              <w:t>EUR SPI ID</w:t>
            </w:r>
          </w:p>
        </w:tc>
        <w:tc>
          <w:tcPr>
            <w:tcW w:w="2435" w:type="pct"/>
            <w:tcBorders>
              <w:top w:val="single" w:sz="2" w:space="0" w:color="000000"/>
              <w:left w:val="single" w:sz="2" w:space="0" w:color="000000"/>
              <w:bottom w:val="single" w:sz="2" w:space="0" w:color="000000"/>
              <w:right w:val="single" w:sz="2" w:space="0" w:color="000000"/>
            </w:tcBorders>
            <w:shd w:val="clear" w:color="auto" w:fill="1F497D" w:themeFill="text2"/>
            <w:tcMar>
              <w:top w:w="120" w:type="dxa"/>
              <w:left w:w="120" w:type="dxa"/>
              <w:bottom w:w="120" w:type="dxa"/>
              <w:right w:w="120" w:type="dxa"/>
            </w:tcMar>
            <w:vAlign w:val="bottom"/>
            <w:hideMark/>
          </w:tcPr>
          <w:p w14:paraId="457819F1" w14:textId="77777777" w:rsidR="000D1929" w:rsidRPr="0008053E" w:rsidRDefault="000D1929" w:rsidP="00D91489">
            <w:pPr>
              <w:jc w:val="center"/>
              <w:rPr>
                <w:b/>
                <w:color w:val="EEECE1" w:themeColor="background2"/>
              </w:rPr>
            </w:pPr>
            <w:r>
              <w:rPr>
                <w:b/>
                <w:color w:val="EEECE1" w:themeColor="background2"/>
              </w:rPr>
              <w:t>EUR SPI text</w:t>
            </w:r>
          </w:p>
        </w:tc>
        <w:tc>
          <w:tcPr>
            <w:tcW w:w="6" w:type="pct"/>
            <w:tcBorders>
              <w:top w:val="single" w:sz="2" w:space="0" w:color="000000"/>
              <w:left w:val="single" w:sz="2" w:space="0" w:color="000000"/>
              <w:bottom w:val="single" w:sz="2" w:space="0" w:color="000000"/>
              <w:right w:val="single" w:sz="2" w:space="0" w:color="000000"/>
            </w:tcBorders>
            <w:shd w:val="clear" w:color="auto" w:fill="1F497D" w:themeFill="text2"/>
          </w:tcPr>
          <w:p w14:paraId="2B881130" w14:textId="77777777" w:rsidR="000D1929" w:rsidRPr="0008053E" w:rsidRDefault="000D1929" w:rsidP="00D91489">
            <w:pPr>
              <w:jc w:val="center"/>
              <w:rPr>
                <w:b/>
                <w:color w:val="EEECE1" w:themeColor="background2"/>
              </w:rPr>
            </w:pPr>
          </w:p>
        </w:tc>
      </w:tr>
      <w:tr w:rsidR="000D1929" w:rsidRPr="007C20E1" w14:paraId="3303A688" w14:textId="77777777" w:rsidTr="00D91489">
        <w:trPr>
          <w:trHeight w:val="469"/>
        </w:trPr>
        <w:tc>
          <w:tcPr>
            <w:tcW w:w="5000" w:type="pct"/>
            <w:gridSpan w:val="4"/>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39029465" w14:textId="77777777" w:rsidR="000D1929" w:rsidRPr="00A147CD" w:rsidRDefault="000D1929" w:rsidP="00B72FB7">
            <w:pPr>
              <w:pStyle w:val="Standardtext"/>
            </w:pPr>
            <w:r>
              <w:rPr>
                <w:b/>
                <w:bCs/>
              </w:rPr>
              <w:t xml:space="preserve">GASP </w:t>
            </w:r>
            <w:r w:rsidRPr="00340A1F">
              <w:rPr>
                <w:b/>
                <w:bCs/>
              </w:rPr>
              <w:t>Goal 1:</w:t>
            </w:r>
            <w:r>
              <w:rPr>
                <w:b/>
                <w:bCs/>
              </w:rPr>
              <w:t xml:space="preserve"> A</w:t>
            </w:r>
            <w:r w:rsidRPr="00340A1F">
              <w:t>chieve a continuous reduction of operational safety risks</w:t>
            </w:r>
          </w:p>
        </w:tc>
      </w:tr>
      <w:tr w:rsidR="00CB1F72" w:rsidRPr="007C20E1" w14:paraId="1B0F4240" w14:textId="77777777" w:rsidTr="00992EA9">
        <w:tc>
          <w:tcPr>
            <w:tcW w:w="1661" w:type="pct"/>
            <w:vMerge w:val="restart"/>
            <w:tcBorders>
              <w:top w:val="single" w:sz="2" w:space="0" w:color="000000"/>
              <w:left w:val="single" w:sz="2" w:space="0" w:color="000000"/>
              <w:right w:val="single" w:sz="2" w:space="0" w:color="000000"/>
            </w:tcBorders>
            <w:tcMar>
              <w:top w:w="120" w:type="dxa"/>
              <w:left w:w="120" w:type="dxa"/>
              <w:bottom w:w="120" w:type="dxa"/>
              <w:right w:w="120" w:type="dxa"/>
            </w:tcMar>
            <w:hideMark/>
          </w:tcPr>
          <w:p w14:paraId="2E187FF5" w14:textId="77777777" w:rsidR="00CB1F72" w:rsidRPr="005B12F5" w:rsidRDefault="00CB1F72" w:rsidP="00CB1F72">
            <w:pPr>
              <w:pStyle w:val="Standardtext"/>
            </w:pPr>
            <w:r w:rsidRPr="00340A1F">
              <w:rPr>
                <w:b/>
                <w:bCs/>
                <w:lang w:val="en-CA"/>
              </w:rPr>
              <w:t>1.1</w:t>
            </w:r>
            <w:r>
              <w:rPr>
                <w:b/>
                <w:bCs/>
                <w:lang w:val="en-CA"/>
              </w:rPr>
              <w:t xml:space="preserve"> </w:t>
            </w:r>
            <w:r w:rsidRPr="005B12F5">
              <w:t xml:space="preserve">By 2028, </w:t>
            </w:r>
            <w:bookmarkStart w:id="172" w:name="_Hlk156973588"/>
            <w:r>
              <w:t xml:space="preserve">EUR </w:t>
            </w:r>
            <w:r w:rsidRPr="005B12F5">
              <w:t xml:space="preserve">States and industry to </w:t>
            </w:r>
            <w:r w:rsidRPr="005B12F5">
              <w:rPr>
                <w:lang w:val="en-CA"/>
              </w:rPr>
              <w:t xml:space="preserve">decrease </w:t>
            </w:r>
            <w:bookmarkEnd w:id="172"/>
            <w:r w:rsidRPr="005B12F5">
              <w:rPr>
                <w:lang w:val="en-CA"/>
              </w:rPr>
              <w:t>the accident rate</w:t>
            </w:r>
          </w:p>
        </w:tc>
        <w:tc>
          <w:tcPr>
            <w:tcW w:w="899" w:type="pct"/>
            <w:tcBorders>
              <w:top w:val="single" w:sz="2" w:space="0" w:color="000000"/>
              <w:left w:val="single" w:sz="2" w:space="0" w:color="000000"/>
              <w:bottom w:val="single" w:sz="2" w:space="0" w:color="000000"/>
              <w:right w:val="single" w:sz="2" w:space="0" w:color="000000"/>
            </w:tcBorders>
          </w:tcPr>
          <w:p w14:paraId="7CF19797" w14:textId="77777777" w:rsidR="00CB1F72" w:rsidRPr="00A147CD" w:rsidRDefault="00CB1F72" w:rsidP="00CB1F72">
            <w:pPr>
              <w:pStyle w:val="Standardtext"/>
            </w:pPr>
            <w:r w:rsidRPr="00AC55C7">
              <w:rPr>
                <w:rFonts w:cstheme="minorHAnsi"/>
                <w:szCs w:val="20"/>
              </w:rPr>
              <w:t>EUR.SPI.1.1.01</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5B5187E5" w14:textId="4E6FFCDE" w:rsidR="00CB1F72" w:rsidRPr="00340A1F" w:rsidRDefault="00E576FB" w:rsidP="00CB1F72">
            <w:pPr>
              <w:pStyle w:val="Standardtext"/>
              <w:rPr>
                <w:lang w:val="en-CA"/>
              </w:rPr>
            </w:pPr>
            <w:r w:rsidRPr="00A57AEA">
              <w:rPr>
                <w:lang w:val="en-GB"/>
              </w:rPr>
              <w:t>Number of accidents involving scheduled commercial operations with aircraft of maximum mass of over 5700 kg and occurring in EUR Region per million of international departures (accident rate)</w:t>
            </w:r>
            <w:r w:rsidR="00CB1F72">
              <w:rPr>
                <w:rStyle w:val="FootnoteReference"/>
                <w:rFonts w:cstheme="minorHAnsi"/>
                <w:szCs w:val="20"/>
              </w:rPr>
              <w:footnoteReference w:id="18"/>
            </w:r>
          </w:p>
        </w:tc>
        <w:tc>
          <w:tcPr>
            <w:tcW w:w="6" w:type="pct"/>
            <w:tcBorders>
              <w:top w:val="single" w:sz="2" w:space="0" w:color="000000"/>
              <w:left w:val="single" w:sz="2" w:space="0" w:color="000000"/>
              <w:bottom w:val="single" w:sz="2" w:space="0" w:color="000000"/>
              <w:right w:val="single" w:sz="2" w:space="0" w:color="000000"/>
            </w:tcBorders>
          </w:tcPr>
          <w:p w14:paraId="61D748C3" w14:textId="77777777" w:rsidR="00CB1F72" w:rsidRPr="00A147CD" w:rsidRDefault="00CB1F72" w:rsidP="00CB1F72">
            <w:pPr>
              <w:pStyle w:val="Standardtext"/>
            </w:pPr>
          </w:p>
        </w:tc>
      </w:tr>
      <w:tr w:rsidR="00CB1F72" w:rsidRPr="007C20E1" w14:paraId="3A298CA5" w14:textId="77777777" w:rsidTr="00992EA9">
        <w:tc>
          <w:tcPr>
            <w:tcW w:w="1661" w:type="pct"/>
            <w:vMerge/>
            <w:tcBorders>
              <w:left w:val="single" w:sz="2" w:space="0" w:color="000000"/>
              <w:right w:val="single" w:sz="2" w:space="0" w:color="000000"/>
            </w:tcBorders>
            <w:tcMar>
              <w:top w:w="120" w:type="dxa"/>
              <w:left w:w="120" w:type="dxa"/>
              <w:bottom w:w="120" w:type="dxa"/>
              <w:right w:w="120" w:type="dxa"/>
            </w:tcMar>
          </w:tcPr>
          <w:p w14:paraId="336D49D2" w14:textId="77777777" w:rsidR="00CB1F72" w:rsidRPr="005B12F5" w:rsidRDefault="00CB1F72" w:rsidP="00CB1F72">
            <w:pPr>
              <w:pStyle w:val="Standardtext"/>
            </w:pPr>
          </w:p>
        </w:tc>
        <w:tc>
          <w:tcPr>
            <w:tcW w:w="899" w:type="pct"/>
            <w:tcBorders>
              <w:top w:val="single" w:sz="2" w:space="0" w:color="000000"/>
              <w:left w:val="single" w:sz="2" w:space="0" w:color="000000"/>
              <w:bottom w:val="single" w:sz="2" w:space="0" w:color="000000"/>
              <w:right w:val="single" w:sz="2" w:space="0" w:color="000000"/>
            </w:tcBorders>
          </w:tcPr>
          <w:p w14:paraId="02B5DC74" w14:textId="77777777" w:rsidR="00CB1F72" w:rsidRPr="00C20A39" w:rsidRDefault="00CB1F72" w:rsidP="00CB1F72">
            <w:pPr>
              <w:pStyle w:val="Standardtext"/>
              <w:rPr>
                <w:lang w:val="en-CA"/>
              </w:rPr>
            </w:pPr>
            <w:r w:rsidRPr="007563C7">
              <w:rPr>
                <w:rFonts w:cstheme="minorHAnsi"/>
                <w:szCs w:val="20"/>
              </w:rPr>
              <w:t>EUR.SPI.1.1.02</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15D6F57B" w14:textId="6F2B00EF" w:rsidR="00CB1F72" w:rsidRPr="00A147CD" w:rsidRDefault="00E576FB" w:rsidP="00E576FB">
            <w:pPr>
              <w:pStyle w:val="Standardtext"/>
            </w:pPr>
            <w:r w:rsidRPr="00E576FB">
              <w:rPr>
                <w:rFonts w:cstheme="minorHAnsi"/>
                <w:szCs w:val="20"/>
              </w:rPr>
              <w:t>Number of fatal accidents involving scheduled commercial operations with aircraft of maximum mass of over 5700 kg and occurring in EUR Region per million of international departures (fatal accident rate).</w:t>
            </w:r>
          </w:p>
        </w:tc>
        <w:tc>
          <w:tcPr>
            <w:tcW w:w="6" w:type="pct"/>
            <w:tcBorders>
              <w:top w:val="single" w:sz="2" w:space="0" w:color="000000"/>
              <w:left w:val="single" w:sz="2" w:space="0" w:color="000000"/>
              <w:bottom w:val="single" w:sz="2" w:space="0" w:color="000000"/>
              <w:right w:val="single" w:sz="2" w:space="0" w:color="000000"/>
            </w:tcBorders>
          </w:tcPr>
          <w:p w14:paraId="72943105" w14:textId="77777777" w:rsidR="00CB1F72" w:rsidRPr="00A147CD" w:rsidRDefault="00CB1F72" w:rsidP="00CB1F72">
            <w:pPr>
              <w:pStyle w:val="Standardtext"/>
            </w:pPr>
          </w:p>
        </w:tc>
      </w:tr>
      <w:tr w:rsidR="00CB1F72" w:rsidRPr="007C20E1" w14:paraId="7B0B8ED6" w14:textId="77777777" w:rsidTr="00992EA9">
        <w:tc>
          <w:tcPr>
            <w:tcW w:w="1661" w:type="pct"/>
            <w:vMerge/>
            <w:tcBorders>
              <w:left w:val="single" w:sz="2" w:space="0" w:color="000000"/>
              <w:right w:val="single" w:sz="2" w:space="0" w:color="000000"/>
            </w:tcBorders>
            <w:tcMar>
              <w:top w:w="120" w:type="dxa"/>
              <w:left w:w="120" w:type="dxa"/>
              <w:bottom w:w="120" w:type="dxa"/>
              <w:right w:w="120" w:type="dxa"/>
            </w:tcMar>
          </w:tcPr>
          <w:p w14:paraId="67056B48" w14:textId="77777777" w:rsidR="00CB1F72" w:rsidRPr="005B12F5" w:rsidRDefault="00CB1F72" w:rsidP="00CB1F72">
            <w:pPr>
              <w:pStyle w:val="Standardtext"/>
            </w:pPr>
          </w:p>
        </w:tc>
        <w:tc>
          <w:tcPr>
            <w:tcW w:w="899" w:type="pct"/>
            <w:tcBorders>
              <w:top w:val="single" w:sz="2" w:space="0" w:color="000000"/>
              <w:left w:val="single" w:sz="2" w:space="0" w:color="000000"/>
              <w:bottom w:val="single" w:sz="2" w:space="0" w:color="000000"/>
              <w:right w:val="single" w:sz="2" w:space="0" w:color="000000"/>
            </w:tcBorders>
          </w:tcPr>
          <w:p w14:paraId="55F1A516" w14:textId="77777777" w:rsidR="00CB1F72" w:rsidRPr="00C20A39" w:rsidRDefault="00CB1F72" w:rsidP="00CB1F72">
            <w:pPr>
              <w:pStyle w:val="Standardtext"/>
              <w:rPr>
                <w:lang w:val="en-CA"/>
              </w:rPr>
            </w:pPr>
            <w:r w:rsidRPr="007563C7">
              <w:rPr>
                <w:rFonts w:cstheme="minorHAnsi"/>
                <w:szCs w:val="20"/>
              </w:rPr>
              <w:t>EUR.SPI.1.1.03</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32572777" w14:textId="73DD6C0E" w:rsidR="00CB1F72" w:rsidRPr="00A147CD" w:rsidRDefault="00E576FB" w:rsidP="00CB1F72">
            <w:pPr>
              <w:pStyle w:val="Standardtext"/>
            </w:pPr>
            <w:r w:rsidRPr="00E576FB">
              <w:rPr>
                <w:rFonts w:cstheme="minorHAnsi"/>
                <w:szCs w:val="20"/>
              </w:rPr>
              <w:t>Number of fatalities in accidents involving scheduled commercial operations with aircraft of maximum mass of over 5700 kg and occurring in EUR Region per passengers carried (fatality rate).</w:t>
            </w:r>
          </w:p>
        </w:tc>
        <w:tc>
          <w:tcPr>
            <w:tcW w:w="6" w:type="pct"/>
            <w:tcBorders>
              <w:top w:val="single" w:sz="2" w:space="0" w:color="000000"/>
              <w:left w:val="single" w:sz="2" w:space="0" w:color="000000"/>
              <w:bottom w:val="single" w:sz="2" w:space="0" w:color="000000"/>
              <w:right w:val="single" w:sz="2" w:space="0" w:color="000000"/>
            </w:tcBorders>
          </w:tcPr>
          <w:p w14:paraId="5491DE57" w14:textId="77777777" w:rsidR="00CB1F72" w:rsidRPr="00A147CD" w:rsidRDefault="00CB1F72" w:rsidP="00CB1F72">
            <w:pPr>
              <w:pStyle w:val="Standardtext"/>
            </w:pPr>
          </w:p>
        </w:tc>
      </w:tr>
      <w:tr w:rsidR="00C574A4" w:rsidRPr="007C20E1" w14:paraId="1CAA59FB" w14:textId="77777777" w:rsidTr="00992EA9">
        <w:tc>
          <w:tcPr>
            <w:tcW w:w="1661" w:type="pct"/>
            <w:vMerge w:val="restart"/>
            <w:tcBorders>
              <w:top w:val="single" w:sz="2" w:space="0" w:color="000000"/>
              <w:left w:val="single" w:sz="2" w:space="0" w:color="000000"/>
              <w:right w:val="single" w:sz="2" w:space="0" w:color="000000"/>
            </w:tcBorders>
            <w:tcMar>
              <w:top w:w="120" w:type="dxa"/>
              <w:left w:w="120" w:type="dxa"/>
              <w:bottom w:w="120" w:type="dxa"/>
              <w:right w:w="120" w:type="dxa"/>
            </w:tcMar>
            <w:hideMark/>
          </w:tcPr>
          <w:p w14:paraId="0B0EBD04" w14:textId="3531C2E3" w:rsidR="00C574A4" w:rsidRPr="005B12F5" w:rsidRDefault="00C574A4" w:rsidP="00CB1F72">
            <w:pPr>
              <w:pStyle w:val="Standardtext"/>
              <w:rPr>
                <w:lang w:val="en-CA"/>
              </w:rPr>
            </w:pPr>
            <w:r w:rsidRPr="00340A1F">
              <w:rPr>
                <w:b/>
                <w:bCs/>
                <w:lang w:val="en-CA"/>
              </w:rPr>
              <w:t>1.2</w:t>
            </w:r>
            <w:r>
              <w:rPr>
                <w:b/>
                <w:bCs/>
                <w:lang w:val="en-CA"/>
              </w:rPr>
              <w:t xml:space="preserve"> </w:t>
            </w:r>
            <w:r w:rsidRPr="005B12F5">
              <w:rPr>
                <w:lang w:val="en-CA"/>
              </w:rPr>
              <w:t xml:space="preserve">By 2028, </w:t>
            </w:r>
            <w:r>
              <w:rPr>
                <w:lang w:val="en-CA"/>
              </w:rPr>
              <w:t xml:space="preserve">EUR </w:t>
            </w:r>
            <w:r w:rsidRPr="005B12F5">
              <w:rPr>
                <w:lang w:val="en-CA"/>
              </w:rPr>
              <w:t xml:space="preserve">States and industry to decrease the rate of accidents for each </w:t>
            </w:r>
            <w:r>
              <w:rPr>
                <w:lang w:val="en-CA"/>
              </w:rPr>
              <w:t xml:space="preserve">regional </w:t>
            </w:r>
            <w:r w:rsidRPr="005B12F5">
              <w:rPr>
                <w:lang w:val="en-CA"/>
              </w:rPr>
              <w:t>high-risk category of occurrence (</w:t>
            </w:r>
            <w:r>
              <w:rPr>
                <w:lang w:val="en-CA"/>
              </w:rPr>
              <w:t>R</w:t>
            </w:r>
            <w:r w:rsidRPr="005B12F5">
              <w:rPr>
                <w:lang w:val="en-CA"/>
              </w:rPr>
              <w:t>-HRC)</w:t>
            </w:r>
          </w:p>
        </w:tc>
        <w:tc>
          <w:tcPr>
            <w:tcW w:w="899" w:type="pct"/>
            <w:tcBorders>
              <w:top w:val="single" w:sz="2" w:space="0" w:color="000000"/>
              <w:left w:val="single" w:sz="2" w:space="0" w:color="000000"/>
              <w:bottom w:val="single" w:sz="2" w:space="0" w:color="000000"/>
              <w:right w:val="single" w:sz="2" w:space="0" w:color="000000"/>
            </w:tcBorders>
          </w:tcPr>
          <w:p w14:paraId="218E9820" w14:textId="5B4C22D3" w:rsidR="00C574A4" w:rsidRDefault="00C574A4" w:rsidP="00CB1F72">
            <w:pPr>
              <w:pStyle w:val="Standardtext"/>
            </w:pPr>
            <w:r w:rsidRPr="007E02E6">
              <w:t>EUR.SPI.1.2.01</w:t>
            </w:r>
            <w:r>
              <w:t>.1</w:t>
            </w:r>
          </w:p>
          <w:p w14:paraId="4F75EC30" w14:textId="766EC46F" w:rsidR="00C574A4" w:rsidRPr="007E02E6" w:rsidRDefault="00C574A4" w:rsidP="00CB1F72">
            <w:pPr>
              <w:pStyle w:val="Standardtext"/>
            </w:pP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72D394F4" w14:textId="17410A38" w:rsidR="00C574A4" w:rsidRPr="00A147CD" w:rsidRDefault="00C574A4" w:rsidP="00C574A4">
            <w:pPr>
              <w:pStyle w:val="Standardtext"/>
            </w:pPr>
            <w:r w:rsidRPr="007563C7">
              <w:rPr>
                <w:rFonts w:cstheme="minorHAnsi"/>
                <w:szCs w:val="20"/>
              </w:rPr>
              <w:t xml:space="preserve">Number of </w:t>
            </w:r>
            <w:r>
              <w:rPr>
                <w:rFonts w:cstheme="minorHAnsi"/>
                <w:szCs w:val="20"/>
              </w:rPr>
              <w:t xml:space="preserve">CFIT </w:t>
            </w:r>
            <w:r w:rsidRPr="007563C7">
              <w:rPr>
                <w:rFonts w:cstheme="minorHAnsi"/>
                <w:szCs w:val="20"/>
              </w:rPr>
              <w:t>accidents involving scheduled commercial operations with aircraft of maximum mass of over 5700 kg and occurring in EUR Region per million departures (accident rate)</w:t>
            </w:r>
            <w:r>
              <w:rPr>
                <w:rFonts w:cstheme="minorHAnsi"/>
                <w:szCs w:val="20"/>
              </w:rPr>
              <w:t>.</w:t>
            </w:r>
            <w:r w:rsidRPr="00C136D3">
              <w:t xml:space="preserve"> </w:t>
            </w:r>
          </w:p>
        </w:tc>
        <w:tc>
          <w:tcPr>
            <w:tcW w:w="6" w:type="pct"/>
            <w:tcBorders>
              <w:top w:val="single" w:sz="2" w:space="0" w:color="000000"/>
              <w:left w:val="single" w:sz="2" w:space="0" w:color="000000"/>
              <w:bottom w:val="single" w:sz="2" w:space="0" w:color="000000"/>
              <w:right w:val="single" w:sz="2" w:space="0" w:color="000000"/>
            </w:tcBorders>
          </w:tcPr>
          <w:p w14:paraId="3A063EF7" w14:textId="77777777" w:rsidR="00C574A4" w:rsidRPr="00C136D3" w:rsidRDefault="00C574A4" w:rsidP="00CB1F72">
            <w:pPr>
              <w:pStyle w:val="Standardtext"/>
            </w:pPr>
          </w:p>
        </w:tc>
      </w:tr>
      <w:tr w:rsidR="00C574A4" w:rsidRPr="007C20E1" w14:paraId="1453E726" w14:textId="77777777" w:rsidTr="00992EA9">
        <w:tc>
          <w:tcPr>
            <w:tcW w:w="1661" w:type="pct"/>
            <w:vMerge/>
            <w:tcBorders>
              <w:left w:val="single" w:sz="2" w:space="0" w:color="000000"/>
              <w:right w:val="single" w:sz="2" w:space="0" w:color="000000"/>
            </w:tcBorders>
            <w:tcMar>
              <w:top w:w="120" w:type="dxa"/>
              <w:left w:w="120" w:type="dxa"/>
              <w:bottom w:w="120" w:type="dxa"/>
              <w:right w:w="120" w:type="dxa"/>
            </w:tcMar>
          </w:tcPr>
          <w:p w14:paraId="4E4ABA44" w14:textId="77777777" w:rsidR="00C574A4" w:rsidRPr="005B12F5" w:rsidRDefault="00C574A4" w:rsidP="00C574A4">
            <w:pPr>
              <w:pStyle w:val="Standardtext"/>
              <w:rPr>
                <w:lang w:val="en-CA"/>
              </w:rPr>
            </w:pPr>
          </w:p>
        </w:tc>
        <w:tc>
          <w:tcPr>
            <w:tcW w:w="899" w:type="pct"/>
            <w:tcBorders>
              <w:top w:val="single" w:sz="2" w:space="0" w:color="000000"/>
              <w:left w:val="single" w:sz="2" w:space="0" w:color="000000"/>
              <w:bottom w:val="single" w:sz="2" w:space="0" w:color="000000"/>
              <w:right w:val="single" w:sz="2" w:space="0" w:color="000000"/>
            </w:tcBorders>
          </w:tcPr>
          <w:p w14:paraId="6857DCC4" w14:textId="2DB8FBDE" w:rsidR="00C574A4" w:rsidRDefault="00C574A4" w:rsidP="00C574A4">
            <w:pPr>
              <w:pStyle w:val="Standardtext"/>
            </w:pPr>
            <w:r w:rsidRPr="007E02E6">
              <w:t>EUR.SPI.1.2.01</w:t>
            </w:r>
            <w:r>
              <w:t>.2</w:t>
            </w:r>
          </w:p>
          <w:p w14:paraId="23D89281" w14:textId="0B4B71C2" w:rsidR="00C574A4" w:rsidRPr="007E02E6" w:rsidRDefault="00C574A4" w:rsidP="00C574A4">
            <w:pPr>
              <w:pStyle w:val="Standardtext"/>
            </w:pP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4679237F" w14:textId="301AF736" w:rsidR="00C574A4" w:rsidRPr="00C136D3" w:rsidRDefault="00C574A4" w:rsidP="00C574A4">
            <w:pPr>
              <w:pStyle w:val="Standardtext"/>
            </w:pPr>
            <w:r w:rsidRPr="007563C7">
              <w:rPr>
                <w:rFonts w:cstheme="minorHAnsi"/>
                <w:szCs w:val="20"/>
              </w:rPr>
              <w:t xml:space="preserve">Number of </w:t>
            </w:r>
            <w:r>
              <w:rPr>
                <w:rFonts w:cstheme="minorHAnsi"/>
                <w:szCs w:val="20"/>
              </w:rPr>
              <w:t xml:space="preserve">LOC-I </w:t>
            </w:r>
            <w:r w:rsidRPr="007563C7">
              <w:rPr>
                <w:rFonts w:cstheme="minorHAnsi"/>
                <w:szCs w:val="20"/>
              </w:rPr>
              <w:t>accidents involving scheduled commercial operations with aircraft of maximum mass of over 5700 kg and occurring in EUR Region per million departures (accident rate)</w:t>
            </w:r>
            <w:r>
              <w:rPr>
                <w:rFonts w:cstheme="minorHAnsi"/>
                <w:szCs w:val="20"/>
              </w:rPr>
              <w:t>.</w:t>
            </w:r>
            <w:r w:rsidRPr="00C136D3">
              <w:t xml:space="preserve"> </w:t>
            </w:r>
          </w:p>
        </w:tc>
        <w:tc>
          <w:tcPr>
            <w:tcW w:w="6" w:type="pct"/>
            <w:tcBorders>
              <w:top w:val="single" w:sz="2" w:space="0" w:color="000000"/>
              <w:left w:val="single" w:sz="2" w:space="0" w:color="000000"/>
              <w:bottom w:val="single" w:sz="2" w:space="0" w:color="000000"/>
              <w:right w:val="single" w:sz="2" w:space="0" w:color="000000"/>
            </w:tcBorders>
          </w:tcPr>
          <w:p w14:paraId="3053A7AA" w14:textId="77777777" w:rsidR="00C574A4" w:rsidRPr="00C136D3" w:rsidRDefault="00C574A4" w:rsidP="00C574A4">
            <w:pPr>
              <w:pStyle w:val="Standardtext"/>
            </w:pPr>
          </w:p>
        </w:tc>
      </w:tr>
      <w:tr w:rsidR="00C574A4" w:rsidRPr="007C20E1" w14:paraId="0A47AEBC" w14:textId="77777777" w:rsidTr="00992EA9">
        <w:tc>
          <w:tcPr>
            <w:tcW w:w="1661" w:type="pct"/>
            <w:vMerge/>
            <w:tcBorders>
              <w:left w:val="single" w:sz="2" w:space="0" w:color="000000"/>
              <w:right w:val="single" w:sz="2" w:space="0" w:color="000000"/>
            </w:tcBorders>
            <w:tcMar>
              <w:top w:w="120" w:type="dxa"/>
              <w:left w:w="120" w:type="dxa"/>
              <w:bottom w:w="120" w:type="dxa"/>
              <w:right w:w="120" w:type="dxa"/>
            </w:tcMar>
          </w:tcPr>
          <w:p w14:paraId="71D74DBB" w14:textId="77777777" w:rsidR="00C574A4" w:rsidRPr="005B12F5" w:rsidRDefault="00C574A4" w:rsidP="00C574A4">
            <w:pPr>
              <w:pStyle w:val="Standardtext"/>
              <w:rPr>
                <w:lang w:val="en-CA"/>
              </w:rPr>
            </w:pPr>
          </w:p>
        </w:tc>
        <w:tc>
          <w:tcPr>
            <w:tcW w:w="899" w:type="pct"/>
            <w:tcBorders>
              <w:top w:val="single" w:sz="2" w:space="0" w:color="000000"/>
              <w:left w:val="single" w:sz="2" w:space="0" w:color="000000"/>
              <w:bottom w:val="single" w:sz="2" w:space="0" w:color="000000"/>
              <w:right w:val="single" w:sz="2" w:space="0" w:color="000000"/>
            </w:tcBorders>
          </w:tcPr>
          <w:p w14:paraId="06844AB7" w14:textId="01B990B1" w:rsidR="00C574A4" w:rsidRDefault="00C574A4" w:rsidP="00C574A4">
            <w:pPr>
              <w:pStyle w:val="Standardtext"/>
            </w:pPr>
            <w:r w:rsidRPr="007E02E6">
              <w:t>EUR.SPI.1.2.01</w:t>
            </w:r>
            <w:r>
              <w:t>.3</w:t>
            </w:r>
          </w:p>
          <w:p w14:paraId="6BCDF039" w14:textId="77777777" w:rsidR="00C574A4" w:rsidRPr="007E02E6" w:rsidRDefault="00C574A4" w:rsidP="00C574A4">
            <w:pPr>
              <w:pStyle w:val="Standardtext"/>
            </w:pP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614F6630" w14:textId="1B786DCD" w:rsidR="00C574A4" w:rsidRPr="00C136D3" w:rsidRDefault="00C574A4" w:rsidP="00C574A4">
            <w:pPr>
              <w:pStyle w:val="Standardtext"/>
            </w:pPr>
            <w:r w:rsidRPr="007563C7">
              <w:rPr>
                <w:rFonts w:cstheme="minorHAnsi"/>
                <w:szCs w:val="20"/>
              </w:rPr>
              <w:t xml:space="preserve">Number of </w:t>
            </w:r>
            <w:r>
              <w:rPr>
                <w:rFonts w:cstheme="minorHAnsi"/>
                <w:szCs w:val="20"/>
              </w:rPr>
              <w:t xml:space="preserve">MAC </w:t>
            </w:r>
            <w:r w:rsidRPr="007563C7">
              <w:rPr>
                <w:rFonts w:cstheme="minorHAnsi"/>
                <w:szCs w:val="20"/>
              </w:rPr>
              <w:t xml:space="preserve">accidents involving scheduled commercial operations with aircraft of maximum </w:t>
            </w:r>
            <w:r w:rsidRPr="007563C7">
              <w:rPr>
                <w:rFonts w:cstheme="minorHAnsi"/>
                <w:szCs w:val="20"/>
              </w:rPr>
              <w:lastRenderedPageBreak/>
              <w:t>mass of over 5700 kg and occurring in EUR Region per million departures (accident rate)</w:t>
            </w:r>
            <w:r>
              <w:rPr>
                <w:rFonts w:cstheme="minorHAnsi"/>
                <w:szCs w:val="20"/>
              </w:rPr>
              <w:t>.</w:t>
            </w:r>
            <w:r w:rsidRPr="00C136D3">
              <w:t xml:space="preserve"> </w:t>
            </w:r>
          </w:p>
        </w:tc>
        <w:tc>
          <w:tcPr>
            <w:tcW w:w="6" w:type="pct"/>
            <w:tcBorders>
              <w:top w:val="single" w:sz="2" w:space="0" w:color="000000"/>
              <w:left w:val="single" w:sz="2" w:space="0" w:color="000000"/>
              <w:bottom w:val="single" w:sz="2" w:space="0" w:color="000000"/>
              <w:right w:val="single" w:sz="2" w:space="0" w:color="000000"/>
            </w:tcBorders>
          </w:tcPr>
          <w:p w14:paraId="3E1016CE" w14:textId="77777777" w:rsidR="00C574A4" w:rsidRPr="00C136D3" w:rsidRDefault="00C574A4" w:rsidP="00C574A4">
            <w:pPr>
              <w:pStyle w:val="Standardtext"/>
            </w:pPr>
          </w:p>
        </w:tc>
      </w:tr>
      <w:tr w:rsidR="00C574A4" w:rsidRPr="007C20E1" w14:paraId="166BD4FA" w14:textId="77777777" w:rsidTr="00C30FAA">
        <w:tc>
          <w:tcPr>
            <w:tcW w:w="1661" w:type="pct"/>
            <w:vMerge/>
            <w:tcBorders>
              <w:left w:val="single" w:sz="2" w:space="0" w:color="000000"/>
              <w:right w:val="single" w:sz="2" w:space="0" w:color="000000"/>
            </w:tcBorders>
            <w:tcMar>
              <w:top w:w="120" w:type="dxa"/>
              <w:left w:w="120" w:type="dxa"/>
              <w:bottom w:w="120" w:type="dxa"/>
              <w:right w:w="120" w:type="dxa"/>
            </w:tcMar>
          </w:tcPr>
          <w:p w14:paraId="7B072A3A" w14:textId="77777777" w:rsidR="00C574A4" w:rsidRPr="005B12F5" w:rsidRDefault="00C574A4" w:rsidP="00C574A4">
            <w:pPr>
              <w:pStyle w:val="Standardtext"/>
              <w:rPr>
                <w:lang w:val="en-CA"/>
              </w:rPr>
            </w:pPr>
          </w:p>
        </w:tc>
        <w:tc>
          <w:tcPr>
            <w:tcW w:w="899" w:type="pct"/>
            <w:tcBorders>
              <w:top w:val="single" w:sz="2" w:space="0" w:color="000000"/>
              <w:left w:val="single" w:sz="2" w:space="0" w:color="000000"/>
              <w:bottom w:val="single" w:sz="2" w:space="0" w:color="000000"/>
              <w:right w:val="single" w:sz="2" w:space="0" w:color="000000"/>
            </w:tcBorders>
          </w:tcPr>
          <w:p w14:paraId="5014EC9E" w14:textId="2EE3F578" w:rsidR="00C574A4" w:rsidRDefault="00C574A4" w:rsidP="00C574A4">
            <w:pPr>
              <w:pStyle w:val="Standardtext"/>
            </w:pPr>
            <w:r w:rsidRPr="007E02E6">
              <w:t>EUR.SPI.1.2.01</w:t>
            </w:r>
            <w:r>
              <w:t>.4</w:t>
            </w:r>
          </w:p>
          <w:p w14:paraId="5CEBDB4B" w14:textId="77777777" w:rsidR="00C574A4" w:rsidRPr="00C136D3" w:rsidRDefault="00C574A4" w:rsidP="00C574A4">
            <w:pPr>
              <w:pStyle w:val="Standardtext"/>
            </w:pP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5F48BF8F" w14:textId="22DCBC05" w:rsidR="00C574A4" w:rsidRPr="00C136D3" w:rsidRDefault="00C574A4" w:rsidP="00C574A4">
            <w:pPr>
              <w:pStyle w:val="Standardtext"/>
            </w:pPr>
            <w:r w:rsidRPr="007563C7">
              <w:rPr>
                <w:rFonts w:cstheme="minorHAnsi"/>
                <w:szCs w:val="20"/>
              </w:rPr>
              <w:t xml:space="preserve">Number of </w:t>
            </w:r>
            <w:r>
              <w:rPr>
                <w:rFonts w:cstheme="minorHAnsi"/>
                <w:szCs w:val="20"/>
              </w:rPr>
              <w:t xml:space="preserve">RE </w:t>
            </w:r>
            <w:r w:rsidRPr="007563C7">
              <w:rPr>
                <w:rFonts w:cstheme="minorHAnsi"/>
                <w:szCs w:val="20"/>
              </w:rPr>
              <w:t>accidents involving scheduled commercial operations with aircraft of maximum mass of over 5700 kg and occurring in EUR Region per million departures (accident rate)</w:t>
            </w:r>
            <w:r>
              <w:rPr>
                <w:rFonts w:cstheme="minorHAnsi"/>
                <w:szCs w:val="20"/>
              </w:rPr>
              <w:t>.</w:t>
            </w:r>
            <w:r w:rsidRPr="00C136D3">
              <w:t xml:space="preserve"> </w:t>
            </w:r>
          </w:p>
        </w:tc>
        <w:tc>
          <w:tcPr>
            <w:tcW w:w="6" w:type="pct"/>
            <w:tcBorders>
              <w:top w:val="single" w:sz="2" w:space="0" w:color="000000"/>
              <w:left w:val="single" w:sz="2" w:space="0" w:color="000000"/>
              <w:bottom w:val="single" w:sz="2" w:space="0" w:color="000000"/>
              <w:right w:val="single" w:sz="2" w:space="0" w:color="000000"/>
            </w:tcBorders>
          </w:tcPr>
          <w:p w14:paraId="04E9BFB2" w14:textId="77777777" w:rsidR="00C574A4" w:rsidRPr="00C136D3" w:rsidRDefault="00C574A4" w:rsidP="00C574A4">
            <w:pPr>
              <w:pStyle w:val="Standardtext"/>
            </w:pPr>
          </w:p>
        </w:tc>
      </w:tr>
      <w:tr w:rsidR="00C574A4" w:rsidRPr="007C20E1" w14:paraId="772EEE80" w14:textId="77777777" w:rsidTr="00992EA9">
        <w:tc>
          <w:tcPr>
            <w:tcW w:w="1661" w:type="pct"/>
            <w:vMerge/>
            <w:tcBorders>
              <w:left w:val="single" w:sz="2" w:space="0" w:color="000000"/>
              <w:bottom w:val="single" w:sz="2" w:space="0" w:color="000000"/>
              <w:right w:val="single" w:sz="2" w:space="0" w:color="000000"/>
            </w:tcBorders>
            <w:tcMar>
              <w:top w:w="120" w:type="dxa"/>
              <w:left w:w="120" w:type="dxa"/>
              <w:bottom w:w="120" w:type="dxa"/>
              <w:right w:w="120" w:type="dxa"/>
            </w:tcMar>
          </w:tcPr>
          <w:p w14:paraId="42900D1E" w14:textId="77777777" w:rsidR="00C574A4" w:rsidRPr="005B12F5" w:rsidRDefault="00C574A4" w:rsidP="00C574A4">
            <w:pPr>
              <w:pStyle w:val="Standardtext"/>
              <w:rPr>
                <w:lang w:val="en-CA"/>
              </w:rPr>
            </w:pPr>
          </w:p>
        </w:tc>
        <w:tc>
          <w:tcPr>
            <w:tcW w:w="899" w:type="pct"/>
            <w:tcBorders>
              <w:top w:val="single" w:sz="2" w:space="0" w:color="000000"/>
              <w:left w:val="single" w:sz="2" w:space="0" w:color="000000"/>
              <w:bottom w:val="single" w:sz="2" w:space="0" w:color="000000"/>
              <w:right w:val="single" w:sz="2" w:space="0" w:color="000000"/>
            </w:tcBorders>
          </w:tcPr>
          <w:p w14:paraId="10140CE5" w14:textId="6B249FA9" w:rsidR="00C574A4" w:rsidRDefault="00C574A4" w:rsidP="00C574A4">
            <w:pPr>
              <w:pStyle w:val="Standardtext"/>
            </w:pPr>
            <w:r w:rsidRPr="007E02E6">
              <w:t>EUR.SPI.1.2.01</w:t>
            </w:r>
            <w:r>
              <w:t>.5</w:t>
            </w:r>
          </w:p>
          <w:p w14:paraId="2B540CA5" w14:textId="77777777" w:rsidR="00C574A4" w:rsidRPr="007E02E6" w:rsidRDefault="00C574A4" w:rsidP="00C574A4">
            <w:pPr>
              <w:pStyle w:val="Standardtext"/>
            </w:pP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5275DA20" w14:textId="6E780C16" w:rsidR="00C574A4" w:rsidRPr="007563C7" w:rsidRDefault="00C574A4" w:rsidP="00C574A4">
            <w:pPr>
              <w:pStyle w:val="Standardtext"/>
              <w:rPr>
                <w:rFonts w:cstheme="minorHAnsi"/>
                <w:szCs w:val="20"/>
              </w:rPr>
            </w:pPr>
            <w:r w:rsidRPr="007563C7">
              <w:rPr>
                <w:rFonts w:cstheme="minorHAnsi"/>
                <w:szCs w:val="20"/>
              </w:rPr>
              <w:t xml:space="preserve">Number of </w:t>
            </w:r>
            <w:r>
              <w:rPr>
                <w:rFonts w:cstheme="minorHAnsi"/>
                <w:szCs w:val="20"/>
              </w:rPr>
              <w:t xml:space="preserve">RI </w:t>
            </w:r>
            <w:r w:rsidRPr="007563C7">
              <w:rPr>
                <w:rFonts w:cstheme="minorHAnsi"/>
                <w:szCs w:val="20"/>
              </w:rPr>
              <w:t>accidents involving scheduled commercial operations with aircraft of maximum mass of over 5700 kg and occurring in EUR Region per million departures (accident rate)</w:t>
            </w:r>
            <w:r>
              <w:rPr>
                <w:rFonts w:cstheme="minorHAnsi"/>
                <w:szCs w:val="20"/>
              </w:rPr>
              <w:t>.</w:t>
            </w:r>
            <w:r w:rsidRPr="00C136D3">
              <w:t xml:space="preserve"> </w:t>
            </w:r>
          </w:p>
        </w:tc>
        <w:tc>
          <w:tcPr>
            <w:tcW w:w="6" w:type="pct"/>
            <w:tcBorders>
              <w:top w:val="single" w:sz="2" w:space="0" w:color="000000"/>
              <w:left w:val="single" w:sz="2" w:space="0" w:color="000000"/>
              <w:bottom w:val="single" w:sz="2" w:space="0" w:color="000000"/>
              <w:right w:val="single" w:sz="2" w:space="0" w:color="000000"/>
            </w:tcBorders>
          </w:tcPr>
          <w:p w14:paraId="0E3DE2B5" w14:textId="77777777" w:rsidR="00C574A4" w:rsidRPr="00C136D3" w:rsidRDefault="00C574A4" w:rsidP="00C574A4">
            <w:pPr>
              <w:pStyle w:val="Standardtext"/>
            </w:pPr>
          </w:p>
        </w:tc>
      </w:tr>
      <w:tr w:rsidR="00C574A4" w:rsidRPr="007C20E1" w14:paraId="69E4FB85" w14:textId="77777777" w:rsidTr="00992EA9">
        <w:tc>
          <w:tcPr>
            <w:tcW w:w="1661" w:type="pct"/>
            <w:tcBorders>
              <w:top w:val="single" w:sz="2" w:space="0" w:color="000000"/>
              <w:left w:val="single" w:sz="2" w:space="0" w:color="000000"/>
              <w:right w:val="single" w:sz="2" w:space="0" w:color="000000"/>
            </w:tcBorders>
            <w:tcMar>
              <w:top w:w="120" w:type="dxa"/>
              <w:left w:w="120" w:type="dxa"/>
              <w:bottom w:w="120" w:type="dxa"/>
              <w:right w:w="120" w:type="dxa"/>
            </w:tcMar>
            <w:hideMark/>
          </w:tcPr>
          <w:p w14:paraId="41D62EF8" w14:textId="1131A238" w:rsidR="00C574A4" w:rsidRPr="005B12F5" w:rsidRDefault="00C574A4" w:rsidP="00C574A4">
            <w:pPr>
              <w:pStyle w:val="Standardtext"/>
              <w:rPr>
                <w:lang w:val="en-CA"/>
              </w:rPr>
            </w:pPr>
            <w:r w:rsidRPr="00340A1F">
              <w:rPr>
                <w:b/>
                <w:bCs/>
                <w:lang w:val="en-CA"/>
              </w:rPr>
              <w:t>1.3</w:t>
            </w:r>
            <w:r>
              <w:rPr>
                <w:b/>
                <w:bCs/>
                <w:lang w:val="en-CA"/>
              </w:rPr>
              <w:t xml:space="preserve"> </w:t>
            </w:r>
            <w:r w:rsidRPr="005B12F5">
              <w:rPr>
                <w:lang w:val="en-CA"/>
              </w:rPr>
              <w:t xml:space="preserve">By 2028, </w:t>
            </w:r>
            <w:r>
              <w:rPr>
                <w:lang w:val="en-CA"/>
              </w:rPr>
              <w:t xml:space="preserve">EUR </w:t>
            </w:r>
            <w:r w:rsidRPr="005B12F5">
              <w:rPr>
                <w:lang w:val="en-CA"/>
              </w:rPr>
              <w:t xml:space="preserve">States and industry to decrease the rate of accidents related to the additional categories of occurrences </w:t>
            </w:r>
            <w:r w:rsidR="00F15283">
              <w:rPr>
                <w:lang w:val="en-CA"/>
              </w:rPr>
              <w:t xml:space="preserve">(R-ORC) </w:t>
            </w:r>
            <w:r w:rsidRPr="005B12F5">
              <w:rPr>
                <w:lang w:val="en-CA"/>
              </w:rPr>
              <w:t xml:space="preserve">identified in the </w:t>
            </w:r>
            <w:r>
              <w:rPr>
                <w:lang w:val="en-CA"/>
              </w:rPr>
              <w:t>EUR RASP</w:t>
            </w:r>
          </w:p>
        </w:tc>
        <w:tc>
          <w:tcPr>
            <w:tcW w:w="899" w:type="pct"/>
            <w:tcBorders>
              <w:top w:val="single" w:sz="2" w:space="0" w:color="000000"/>
              <w:left w:val="single" w:sz="2" w:space="0" w:color="000000"/>
              <w:bottom w:val="single" w:sz="2" w:space="0" w:color="000000"/>
              <w:right w:val="single" w:sz="2" w:space="0" w:color="000000"/>
            </w:tcBorders>
          </w:tcPr>
          <w:p w14:paraId="50D4CA1E" w14:textId="0C429370" w:rsidR="00C574A4" w:rsidRPr="00C136D3" w:rsidRDefault="00C574A4" w:rsidP="00C574A4">
            <w:pPr>
              <w:pStyle w:val="Standardtext"/>
            </w:pPr>
            <w:r w:rsidRPr="007E02E6">
              <w:t>EUR.SPI.1.</w:t>
            </w:r>
            <w:r>
              <w:t>3</w:t>
            </w:r>
            <w:r w:rsidRPr="007E02E6">
              <w:t>.01</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0E5ABB91" w14:textId="6D87EE10" w:rsidR="00C574A4" w:rsidRPr="00C136D3" w:rsidRDefault="00C574A4" w:rsidP="00C574A4">
            <w:pPr>
              <w:pStyle w:val="Standardtext"/>
            </w:pPr>
            <w:r w:rsidRPr="007563C7">
              <w:rPr>
                <w:rFonts w:cstheme="minorHAnsi"/>
                <w:szCs w:val="20"/>
              </w:rPr>
              <w:t xml:space="preserve">Number of </w:t>
            </w:r>
            <w:r>
              <w:rPr>
                <w:rFonts w:cstheme="minorHAnsi"/>
                <w:szCs w:val="20"/>
              </w:rPr>
              <w:t xml:space="preserve">ARC </w:t>
            </w:r>
            <w:r w:rsidRPr="007563C7">
              <w:rPr>
                <w:rFonts w:cstheme="minorHAnsi"/>
                <w:szCs w:val="20"/>
              </w:rPr>
              <w:t>accidents involving scheduled commercial operations with aircraft of maximum mass of over 5700 kg and occurring in EUR Region per million departures (accident rate)</w:t>
            </w:r>
            <w:r>
              <w:rPr>
                <w:rFonts w:cstheme="minorHAnsi"/>
                <w:szCs w:val="20"/>
              </w:rPr>
              <w:t xml:space="preserve"> </w:t>
            </w:r>
            <w:r w:rsidRPr="00C136D3">
              <w:t>by additional category of occurrence</w:t>
            </w:r>
          </w:p>
          <w:p w14:paraId="49DA54E9" w14:textId="77777777" w:rsidR="00C574A4" w:rsidRPr="00A147CD" w:rsidRDefault="00C574A4" w:rsidP="00C574A4">
            <w:pPr>
              <w:pStyle w:val="Standardtext"/>
            </w:pPr>
          </w:p>
        </w:tc>
        <w:tc>
          <w:tcPr>
            <w:tcW w:w="6" w:type="pct"/>
            <w:tcBorders>
              <w:top w:val="single" w:sz="2" w:space="0" w:color="000000"/>
              <w:left w:val="single" w:sz="2" w:space="0" w:color="000000"/>
              <w:bottom w:val="single" w:sz="2" w:space="0" w:color="000000"/>
              <w:right w:val="single" w:sz="2" w:space="0" w:color="000000"/>
            </w:tcBorders>
          </w:tcPr>
          <w:p w14:paraId="57F84111" w14:textId="77777777" w:rsidR="00C574A4" w:rsidRPr="00C136D3" w:rsidRDefault="00C574A4" w:rsidP="00C574A4">
            <w:pPr>
              <w:pStyle w:val="Standardtext"/>
            </w:pPr>
          </w:p>
        </w:tc>
      </w:tr>
      <w:tr w:rsidR="00C574A4" w:rsidRPr="007C20E1" w14:paraId="66D88B33" w14:textId="77777777" w:rsidTr="00D91489">
        <w:trPr>
          <w:trHeight w:val="352"/>
        </w:trPr>
        <w:tc>
          <w:tcPr>
            <w:tcW w:w="5000" w:type="pct"/>
            <w:gridSpan w:val="4"/>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03BF8EDE" w14:textId="77777777" w:rsidR="00C574A4" w:rsidRPr="00A147CD" w:rsidRDefault="00C574A4" w:rsidP="00C574A4">
            <w:pPr>
              <w:pStyle w:val="Standardtext"/>
            </w:pPr>
            <w:r w:rsidRPr="00340A1F">
              <w:rPr>
                <w:b/>
                <w:bCs/>
              </w:rPr>
              <w:t>Goal 2:</w:t>
            </w:r>
            <w:r>
              <w:rPr>
                <w:b/>
                <w:bCs/>
              </w:rPr>
              <w:t xml:space="preserve"> </w:t>
            </w:r>
            <w:bookmarkStart w:id="173" w:name="_Hlk156973761"/>
            <w:r w:rsidRPr="00340A1F">
              <w:t>Strengthen States’ safety oversight</w:t>
            </w:r>
            <w:bookmarkEnd w:id="173"/>
            <w:r w:rsidRPr="00340A1F">
              <w:t xml:space="preserve"> capabilities</w:t>
            </w:r>
          </w:p>
        </w:tc>
      </w:tr>
      <w:tr w:rsidR="00C574A4" w:rsidRPr="007C20E1" w14:paraId="4E62D747" w14:textId="77777777" w:rsidTr="00992EA9">
        <w:trPr>
          <w:trHeight w:val="1810"/>
        </w:trPr>
        <w:tc>
          <w:tcPr>
            <w:tcW w:w="1661"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1C611858" w14:textId="77777777" w:rsidR="00C574A4" w:rsidRPr="005B12F5" w:rsidRDefault="00C574A4" w:rsidP="00C574A4">
            <w:pPr>
              <w:pStyle w:val="Standardtext"/>
              <w:rPr>
                <w:lang w:val="en-CA"/>
              </w:rPr>
            </w:pPr>
            <w:r w:rsidRPr="00340A1F">
              <w:rPr>
                <w:b/>
                <w:bCs/>
                <w:lang w:val="en-CA"/>
              </w:rPr>
              <w:t>2.1</w:t>
            </w:r>
            <w:bookmarkStart w:id="174" w:name="_Hlk157002694"/>
            <w:r>
              <w:rPr>
                <w:b/>
                <w:bCs/>
                <w:lang w:val="en-CA"/>
              </w:rPr>
              <w:t xml:space="preserve"> </w:t>
            </w:r>
            <w:r w:rsidRPr="005B12F5">
              <w:rPr>
                <w:lang w:val="en-CA"/>
              </w:rPr>
              <w:t xml:space="preserve">By 2028, all </w:t>
            </w:r>
            <w:r>
              <w:rPr>
                <w:lang w:val="en-CA"/>
              </w:rPr>
              <w:t xml:space="preserve">EUR </w:t>
            </w:r>
            <w:r w:rsidRPr="005B12F5">
              <w:rPr>
                <w:lang w:val="en-CA"/>
              </w:rPr>
              <w:t>States to commit to national aviation safety plans that allocate to each safety oversight authority sufficient financial resources to meet national and international obligations, with at least 70% of States having sufficient financial resources</w:t>
            </w:r>
            <w:bookmarkEnd w:id="174"/>
          </w:p>
        </w:tc>
        <w:tc>
          <w:tcPr>
            <w:tcW w:w="899" w:type="pct"/>
            <w:tcBorders>
              <w:top w:val="single" w:sz="2" w:space="0" w:color="000000"/>
              <w:left w:val="single" w:sz="2" w:space="0" w:color="000000"/>
              <w:bottom w:val="single" w:sz="2" w:space="0" w:color="000000"/>
              <w:right w:val="single" w:sz="2" w:space="0" w:color="000000"/>
            </w:tcBorders>
          </w:tcPr>
          <w:p w14:paraId="53EFA243" w14:textId="0877C538" w:rsidR="00C574A4" w:rsidRPr="00A147CD" w:rsidRDefault="00C574A4" w:rsidP="00C574A4">
            <w:pPr>
              <w:pStyle w:val="Standardtext"/>
            </w:pPr>
            <w:r w:rsidRPr="007E02E6">
              <w:t>EUR.SPI.</w:t>
            </w:r>
            <w:r>
              <w:t>2</w:t>
            </w:r>
            <w:r w:rsidRPr="007E02E6">
              <w:t>.</w:t>
            </w:r>
            <w:r>
              <w:t>1</w:t>
            </w:r>
            <w:r w:rsidRPr="007E02E6">
              <w:t xml:space="preserve">.01 </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2B30CA52" w14:textId="77777777" w:rsidR="00C574A4" w:rsidRPr="00A147CD" w:rsidRDefault="00C574A4" w:rsidP="00C574A4">
            <w:pPr>
              <w:pStyle w:val="Standardtext"/>
            </w:pPr>
            <w:r w:rsidRPr="00A147CD">
              <w:t xml:space="preserve">Percentage of </w:t>
            </w:r>
            <w:r>
              <w:t xml:space="preserve">EUR </w:t>
            </w:r>
            <w:r w:rsidRPr="00A147CD">
              <w:t>States with a “satisfactory” rating for the Universal Safety Oversight Audit Programme (USOAP) protocol question (PQ) 2.051</w:t>
            </w:r>
            <w:r w:rsidRPr="003645A0">
              <w:rPr>
                <w:vertAlign w:val="superscript"/>
              </w:rPr>
              <w:footnoteReference w:id="19"/>
            </w:r>
          </w:p>
        </w:tc>
        <w:tc>
          <w:tcPr>
            <w:tcW w:w="6" w:type="pct"/>
            <w:tcBorders>
              <w:top w:val="single" w:sz="2" w:space="0" w:color="000000"/>
              <w:left w:val="single" w:sz="2" w:space="0" w:color="000000"/>
              <w:bottom w:val="single" w:sz="2" w:space="0" w:color="000000"/>
              <w:right w:val="single" w:sz="2" w:space="0" w:color="000000"/>
            </w:tcBorders>
          </w:tcPr>
          <w:p w14:paraId="09CE6770" w14:textId="77777777" w:rsidR="00C574A4" w:rsidRPr="00A147CD" w:rsidRDefault="00C574A4" w:rsidP="00C574A4">
            <w:pPr>
              <w:pStyle w:val="Standardtext"/>
            </w:pPr>
          </w:p>
        </w:tc>
      </w:tr>
      <w:tr w:rsidR="00AA7610" w:rsidRPr="007C20E1" w14:paraId="52F09A9A" w14:textId="77777777" w:rsidTr="00827A09">
        <w:trPr>
          <w:trHeight w:val="915"/>
        </w:trPr>
        <w:tc>
          <w:tcPr>
            <w:tcW w:w="1661" w:type="pct"/>
            <w:vMerge w:val="restart"/>
            <w:tcBorders>
              <w:top w:val="single" w:sz="2" w:space="0" w:color="000000"/>
              <w:left w:val="single" w:sz="2" w:space="0" w:color="000000"/>
              <w:right w:val="single" w:sz="2" w:space="0" w:color="000000"/>
            </w:tcBorders>
            <w:tcMar>
              <w:top w:w="120" w:type="dxa"/>
              <w:left w:w="120" w:type="dxa"/>
              <w:bottom w:w="120" w:type="dxa"/>
              <w:right w:w="120" w:type="dxa"/>
            </w:tcMar>
            <w:hideMark/>
          </w:tcPr>
          <w:p w14:paraId="40E9A359" w14:textId="77777777" w:rsidR="00AA7610" w:rsidRPr="005B12F5" w:rsidRDefault="00AA7610" w:rsidP="00C574A4">
            <w:pPr>
              <w:pStyle w:val="Standardtext"/>
              <w:rPr>
                <w:lang w:val="en-CA"/>
              </w:rPr>
            </w:pPr>
            <w:r w:rsidRPr="00340A1F">
              <w:rPr>
                <w:b/>
                <w:bCs/>
                <w:lang w:val="en-CA"/>
              </w:rPr>
              <w:t>2.2</w:t>
            </w:r>
            <w:r>
              <w:rPr>
                <w:b/>
                <w:bCs/>
                <w:lang w:val="en-CA"/>
              </w:rPr>
              <w:t xml:space="preserve"> </w:t>
            </w:r>
            <w:r w:rsidRPr="005B12F5">
              <w:rPr>
                <w:lang w:val="en-CA"/>
              </w:rPr>
              <w:t xml:space="preserve">By 2028, all </w:t>
            </w:r>
            <w:r>
              <w:rPr>
                <w:lang w:val="en-CA"/>
              </w:rPr>
              <w:t xml:space="preserve">EUR </w:t>
            </w:r>
            <w:r w:rsidRPr="005B12F5">
              <w:rPr>
                <w:lang w:val="en-CA"/>
              </w:rPr>
              <w:t xml:space="preserve">States to improve their effective implementation (EI) score for </w:t>
            </w:r>
            <w:r w:rsidRPr="005B12F5">
              <w:rPr>
                <w:lang w:val="en-CA"/>
              </w:rPr>
              <w:lastRenderedPageBreak/>
              <w:t>qualified technical personnel (CE-4) for aircraft accident and incident investigation (AIG) and for aerodromes and ground aids (AGA), respectively, with a further commitment that no State has a score of less than the baseline global average</w:t>
            </w:r>
            <w:r w:rsidRPr="005B12F5">
              <w:rPr>
                <w:rStyle w:val="FootnoteReference"/>
                <w:kern w:val="2"/>
                <w:lang w:val="en-CA"/>
                <w14:ligatures w14:val="standardContextual"/>
              </w:rPr>
              <w:footnoteReference w:id="20"/>
            </w:r>
          </w:p>
        </w:tc>
        <w:tc>
          <w:tcPr>
            <w:tcW w:w="899" w:type="pct"/>
            <w:tcBorders>
              <w:top w:val="single" w:sz="2" w:space="0" w:color="000000"/>
              <w:left w:val="single" w:sz="2" w:space="0" w:color="000000"/>
              <w:bottom w:val="single" w:sz="4" w:space="0" w:color="auto"/>
              <w:right w:val="single" w:sz="2" w:space="0" w:color="000000"/>
            </w:tcBorders>
          </w:tcPr>
          <w:p w14:paraId="5E2C5E07" w14:textId="75D59A21" w:rsidR="00AA7610" w:rsidRPr="00A147CD" w:rsidRDefault="00AA7610" w:rsidP="00C574A4">
            <w:pPr>
              <w:pStyle w:val="Standardtext"/>
            </w:pPr>
            <w:r w:rsidRPr="007E02E6">
              <w:lastRenderedPageBreak/>
              <w:t>EUR.SPI.</w:t>
            </w:r>
            <w:r>
              <w:t>2</w:t>
            </w:r>
            <w:r w:rsidRPr="007E02E6">
              <w:t>.</w:t>
            </w:r>
            <w:r>
              <w:t>2</w:t>
            </w:r>
            <w:r w:rsidRPr="007E02E6">
              <w:t xml:space="preserve">.01 </w:t>
            </w:r>
          </w:p>
        </w:tc>
        <w:tc>
          <w:tcPr>
            <w:tcW w:w="2435" w:type="pct"/>
            <w:tcBorders>
              <w:top w:val="single" w:sz="2" w:space="0" w:color="000000"/>
              <w:left w:val="single" w:sz="2" w:space="0" w:color="000000"/>
              <w:bottom w:val="single" w:sz="4" w:space="0" w:color="auto"/>
              <w:right w:val="single" w:sz="2" w:space="0" w:color="000000"/>
            </w:tcBorders>
            <w:tcMar>
              <w:top w:w="120" w:type="dxa"/>
              <w:left w:w="120" w:type="dxa"/>
              <w:bottom w:w="120" w:type="dxa"/>
              <w:right w:w="120" w:type="dxa"/>
            </w:tcMar>
            <w:hideMark/>
          </w:tcPr>
          <w:p w14:paraId="572293C2" w14:textId="64436F94" w:rsidR="00AA7610" w:rsidRPr="00A147CD" w:rsidRDefault="00AA7610" w:rsidP="00C574A4">
            <w:pPr>
              <w:pStyle w:val="Standardtext"/>
            </w:pPr>
            <w:r w:rsidRPr="00A147CD">
              <w:t xml:space="preserve">Number of </w:t>
            </w:r>
            <w:r>
              <w:t xml:space="preserve">EUR </w:t>
            </w:r>
            <w:r w:rsidRPr="00A147CD">
              <w:t>States that meet the EI score of equal or greater than the baseline global average for CE-4/AIG</w:t>
            </w:r>
          </w:p>
        </w:tc>
        <w:tc>
          <w:tcPr>
            <w:tcW w:w="6" w:type="pct"/>
            <w:vMerge w:val="restart"/>
            <w:tcBorders>
              <w:top w:val="single" w:sz="2" w:space="0" w:color="000000"/>
              <w:left w:val="single" w:sz="2" w:space="0" w:color="000000"/>
              <w:right w:val="single" w:sz="2" w:space="0" w:color="000000"/>
            </w:tcBorders>
          </w:tcPr>
          <w:p w14:paraId="648B66B8" w14:textId="77777777" w:rsidR="00AA7610" w:rsidRPr="00A147CD" w:rsidRDefault="00AA7610" w:rsidP="00C574A4">
            <w:pPr>
              <w:pStyle w:val="Standardtext"/>
            </w:pPr>
          </w:p>
        </w:tc>
      </w:tr>
      <w:tr w:rsidR="00AA7610" w:rsidRPr="007C20E1" w14:paraId="30C53288" w14:textId="77777777" w:rsidTr="00827A09">
        <w:trPr>
          <w:trHeight w:val="2812"/>
        </w:trPr>
        <w:tc>
          <w:tcPr>
            <w:tcW w:w="1661" w:type="pct"/>
            <w:vMerge/>
            <w:tcBorders>
              <w:left w:val="single" w:sz="2" w:space="0" w:color="000000"/>
              <w:bottom w:val="single" w:sz="2" w:space="0" w:color="000000"/>
              <w:right w:val="single" w:sz="2" w:space="0" w:color="000000"/>
            </w:tcBorders>
            <w:tcMar>
              <w:top w:w="120" w:type="dxa"/>
              <w:left w:w="120" w:type="dxa"/>
              <w:bottom w:w="120" w:type="dxa"/>
              <w:right w:w="120" w:type="dxa"/>
            </w:tcMar>
          </w:tcPr>
          <w:p w14:paraId="42EA3C30" w14:textId="77777777" w:rsidR="00AA7610" w:rsidRPr="00340A1F" w:rsidRDefault="00AA7610" w:rsidP="00C574A4">
            <w:pPr>
              <w:pStyle w:val="Standardtext"/>
              <w:rPr>
                <w:b/>
                <w:bCs/>
                <w:lang w:val="en-CA"/>
              </w:rPr>
            </w:pPr>
          </w:p>
        </w:tc>
        <w:tc>
          <w:tcPr>
            <w:tcW w:w="899" w:type="pct"/>
            <w:tcBorders>
              <w:top w:val="single" w:sz="4" w:space="0" w:color="auto"/>
              <w:left w:val="single" w:sz="2" w:space="0" w:color="000000"/>
              <w:bottom w:val="single" w:sz="2" w:space="0" w:color="000000"/>
              <w:right w:val="single" w:sz="2" w:space="0" w:color="000000"/>
            </w:tcBorders>
          </w:tcPr>
          <w:p w14:paraId="2F13DB2D" w14:textId="6D4D9946" w:rsidR="00AA7610" w:rsidRPr="007E02E6" w:rsidRDefault="00AA7610" w:rsidP="00C574A4">
            <w:pPr>
              <w:pStyle w:val="Standardtext"/>
            </w:pPr>
            <w:r w:rsidRPr="007E02E6">
              <w:t>EUR.SPI.</w:t>
            </w:r>
            <w:r>
              <w:t>2</w:t>
            </w:r>
            <w:r w:rsidRPr="007E02E6">
              <w:t>.</w:t>
            </w:r>
            <w:r>
              <w:t>2</w:t>
            </w:r>
            <w:r w:rsidRPr="007E02E6">
              <w:t>.0</w:t>
            </w:r>
            <w:r>
              <w:t>2</w:t>
            </w:r>
          </w:p>
        </w:tc>
        <w:tc>
          <w:tcPr>
            <w:tcW w:w="2435" w:type="pct"/>
            <w:tcBorders>
              <w:top w:val="single" w:sz="4" w:space="0" w:color="auto"/>
              <w:left w:val="single" w:sz="2" w:space="0" w:color="000000"/>
              <w:bottom w:val="single" w:sz="2" w:space="0" w:color="000000"/>
              <w:right w:val="single" w:sz="2" w:space="0" w:color="000000"/>
            </w:tcBorders>
            <w:tcMar>
              <w:top w:w="120" w:type="dxa"/>
              <w:left w:w="120" w:type="dxa"/>
              <w:bottom w:w="120" w:type="dxa"/>
              <w:right w:w="120" w:type="dxa"/>
            </w:tcMar>
          </w:tcPr>
          <w:p w14:paraId="27CC09BE" w14:textId="77777777" w:rsidR="00AA7610" w:rsidRPr="00A147CD" w:rsidRDefault="00AA7610" w:rsidP="00AA7610">
            <w:pPr>
              <w:pStyle w:val="Standardtext"/>
            </w:pPr>
            <w:r w:rsidRPr="00A147CD">
              <w:t xml:space="preserve">Number of </w:t>
            </w:r>
            <w:r>
              <w:t xml:space="preserve">EUR </w:t>
            </w:r>
            <w:r w:rsidRPr="00A147CD">
              <w:t>States that meet the EI score of equal or greater than the baseline global average for CE-4/AGA</w:t>
            </w:r>
          </w:p>
        </w:tc>
        <w:tc>
          <w:tcPr>
            <w:tcW w:w="6" w:type="pct"/>
            <w:vMerge/>
            <w:tcBorders>
              <w:left w:val="single" w:sz="2" w:space="0" w:color="000000"/>
              <w:bottom w:val="single" w:sz="2" w:space="0" w:color="000000"/>
              <w:right w:val="single" w:sz="2" w:space="0" w:color="000000"/>
            </w:tcBorders>
          </w:tcPr>
          <w:p w14:paraId="599E80EF" w14:textId="77777777" w:rsidR="00AA7610" w:rsidRPr="00A147CD" w:rsidRDefault="00AA7610" w:rsidP="00C574A4">
            <w:pPr>
              <w:pStyle w:val="Standardtext"/>
            </w:pPr>
          </w:p>
        </w:tc>
      </w:tr>
      <w:tr w:rsidR="00C574A4" w:rsidRPr="007C20E1" w14:paraId="7A7CACEB" w14:textId="77777777" w:rsidTr="00992EA9">
        <w:trPr>
          <w:trHeight w:val="1170"/>
        </w:trPr>
        <w:tc>
          <w:tcPr>
            <w:tcW w:w="1661"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7367E627" w14:textId="77777777" w:rsidR="00C574A4" w:rsidRPr="005B12F5" w:rsidRDefault="00C574A4" w:rsidP="00C574A4">
            <w:pPr>
              <w:pStyle w:val="Standardtext"/>
              <w:rPr>
                <w:lang w:val="en-CA"/>
              </w:rPr>
            </w:pPr>
            <w:r w:rsidRPr="00340A1F">
              <w:rPr>
                <w:b/>
                <w:bCs/>
                <w:lang w:val="en-CA"/>
              </w:rPr>
              <w:t>2.3</w:t>
            </w:r>
            <w:r>
              <w:rPr>
                <w:b/>
                <w:bCs/>
                <w:lang w:val="en-CA"/>
              </w:rPr>
              <w:t xml:space="preserve"> </w:t>
            </w:r>
            <w:r w:rsidRPr="005B12F5">
              <w:rPr>
                <w:lang w:val="en-CA"/>
              </w:rPr>
              <w:t xml:space="preserve">By 2028, all </w:t>
            </w:r>
            <w:r>
              <w:rPr>
                <w:lang w:val="en-CA"/>
              </w:rPr>
              <w:t xml:space="preserve">EUR </w:t>
            </w:r>
            <w:r w:rsidRPr="005B12F5">
              <w:rPr>
                <w:lang w:val="en-CA"/>
              </w:rPr>
              <w:t>States to improve their EI score for the resolution of safety issues (CE-8) in AGA with a further commitment that no State has a score of less than the baseline global average</w:t>
            </w:r>
          </w:p>
        </w:tc>
        <w:tc>
          <w:tcPr>
            <w:tcW w:w="899" w:type="pct"/>
            <w:tcBorders>
              <w:top w:val="single" w:sz="2" w:space="0" w:color="000000"/>
              <w:left w:val="single" w:sz="2" w:space="0" w:color="000000"/>
              <w:bottom w:val="single" w:sz="2" w:space="0" w:color="000000"/>
              <w:right w:val="single" w:sz="2" w:space="0" w:color="000000"/>
            </w:tcBorders>
          </w:tcPr>
          <w:p w14:paraId="73F548B2" w14:textId="1E86EB50" w:rsidR="00C574A4" w:rsidRPr="00C136D3" w:rsidRDefault="00C574A4" w:rsidP="00C574A4">
            <w:pPr>
              <w:pStyle w:val="Standardtext"/>
            </w:pPr>
            <w:r w:rsidRPr="007E02E6">
              <w:t>EUR.SPI.</w:t>
            </w:r>
            <w:r>
              <w:t>2</w:t>
            </w:r>
            <w:r w:rsidRPr="007E02E6">
              <w:t>.</w:t>
            </w:r>
            <w:r>
              <w:t>3</w:t>
            </w:r>
            <w:r w:rsidRPr="007E02E6">
              <w:t xml:space="preserve">.01 </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23F2CF79" w14:textId="77777777" w:rsidR="00C574A4" w:rsidRPr="00C136D3" w:rsidRDefault="00C574A4" w:rsidP="00C574A4">
            <w:pPr>
              <w:pStyle w:val="Standardtext"/>
            </w:pPr>
            <w:r w:rsidRPr="00C136D3">
              <w:t>Number of States that meet the EI score of equal or greater than the baseline global average for CE-8/AGA</w:t>
            </w:r>
          </w:p>
        </w:tc>
        <w:tc>
          <w:tcPr>
            <w:tcW w:w="6" w:type="pct"/>
            <w:tcBorders>
              <w:top w:val="single" w:sz="2" w:space="0" w:color="000000"/>
              <w:left w:val="single" w:sz="2" w:space="0" w:color="000000"/>
              <w:bottom w:val="single" w:sz="2" w:space="0" w:color="000000"/>
              <w:right w:val="single" w:sz="2" w:space="0" w:color="000000"/>
            </w:tcBorders>
          </w:tcPr>
          <w:p w14:paraId="350E23B5" w14:textId="77777777" w:rsidR="00C574A4" w:rsidRPr="00C136D3" w:rsidRDefault="00C574A4" w:rsidP="00C574A4">
            <w:pPr>
              <w:pStyle w:val="Standardtext"/>
            </w:pPr>
          </w:p>
        </w:tc>
      </w:tr>
      <w:tr w:rsidR="00C574A4" w:rsidRPr="007C20E1" w14:paraId="2E0927A7" w14:textId="77777777" w:rsidTr="00D91489">
        <w:tc>
          <w:tcPr>
            <w:tcW w:w="5000" w:type="pct"/>
            <w:gridSpan w:val="4"/>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1C02AF3B" w14:textId="0E28F91D" w:rsidR="00C574A4" w:rsidRPr="00C136D3" w:rsidRDefault="00C574A4" w:rsidP="00C574A4">
            <w:pPr>
              <w:pStyle w:val="Standardtext"/>
            </w:pPr>
            <w:r w:rsidRPr="00340A1F">
              <w:rPr>
                <w:b/>
                <w:bCs/>
              </w:rPr>
              <w:t>Goal 3:</w:t>
            </w:r>
            <w:r>
              <w:rPr>
                <w:b/>
                <w:bCs/>
              </w:rPr>
              <w:t xml:space="preserve"> </w:t>
            </w:r>
            <w:bookmarkStart w:id="175" w:name="_Hlk156975080"/>
            <w:r w:rsidRPr="00340A1F">
              <w:t>Establish and manage State safety programmes (SSP)</w:t>
            </w:r>
            <w:bookmarkEnd w:id="175"/>
            <w:r>
              <w:rPr>
                <w:rStyle w:val="FootnoteReference"/>
              </w:rPr>
              <w:footnoteReference w:id="21"/>
            </w:r>
          </w:p>
        </w:tc>
      </w:tr>
      <w:tr w:rsidR="00C574A4" w:rsidRPr="007C20E1" w14:paraId="6F0FBB8C" w14:textId="77777777" w:rsidTr="00992EA9">
        <w:tc>
          <w:tcPr>
            <w:tcW w:w="1661"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3042F481" w14:textId="3A39D5FD" w:rsidR="00C574A4" w:rsidRPr="005B12F5" w:rsidRDefault="00C574A4" w:rsidP="00C574A4">
            <w:pPr>
              <w:pStyle w:val="Standardtext"/>
            </w:pPr>
            <w:r w:rsidRPr="00340A1F">
              <w:rPr>
                <w:b/>
                <w:bCs/>
                <w:lang w:val="en-CA"/>
              </w:rPr>
              <w:t>3.1</w:t>
            </w:r>
            <w:r>
              <w:rPr>
                <w:b/>
                <w:bCs/>
                <w:lang w:val="en-CA"/>
              </w:rPr>
              <w:t xml:space="preserve"> </w:t>
            </w:r>
            <w:r w:rsidRPr="005B12F5">
              <w:t>By 202</w:t>
            </w:r>
            <w:r w:rsidR="00AA7610">
              <w:t>8</w:t>
            </w:r>
            <w:r w:rsidRPr="005B12F5">
              <w:t xml:space="preserve">, all </w:t>
            </w:r>
            <w:r>
              <w:t xml:space="preserve">EUR </w:t>
            </w:r>
            <w:r w:rsidRPr="005B12F5">
              <w:t>States to assess the level of implementation of their SSP</w:t>
            </w:r>
          </w:p>
        </w:tc>
        <w:tc>
          <w:tcPr>
            <w:tcW w:w="899" w:type="pct"/>
            <w:tcBorders>
              <w:top w:val="single" w:sz="2" w:space="0" w:color="000000"/>
              <w:left w:val="single" w:sz="2" w:space="0" w:color="000000"/>
              <w:bottom w:val="single" w:sz="2" w:space="0" w:color="000000"/>
              <w:right w:val="single" w:sz="2" w:space="0" w:color="000000"/>
            </w:tcBorders>
          </w:tcPr>
          <w:p w14:paraId="13AAD39B" w14:textId="7F524C0E" w:rsidR="00C574A4" w:rsidRPr="00C136D3" w:rsidRDefault="00C574A4" w:rsidP="00C574A4">
            <w:pPr>
              <w:pStyle w:val="Standardtext"/>
            </w:pPr>
            <w:r w:rsidRPr="007E02E6">
              <w:t>EUR.SPI.</w:t>
            </w:r>
            <w:r>
              <w:t>3</w:t>
            </w:r>
            <w:r w:rsidRPr="007E02E6">
              <w:t>.</w:t>
            </w:r>
            <w:r>
              <w:t>1</w:t>
            </w:r>
            <w:r w:rsidRPr="007E02E6">
              <w:t>.01</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1B849383" w14:textId="0FBD463E" w:rsidR="00C574A4" w:rsidRPr="00C136D3" w:rsidRDefault="00724123" w:rsidP="00C574A4">
            <w:pPr>
              <w:pStyle w:val="Standardtext"/>
            </w:pPr>
            <w:r w:rsidRPr="00A57AEA">
              <w:rPr>
                <w:lang w:val="en-GB"/>
              </w:rPr>
              <w:t>Percentage of EUR States having completed their SSP PQ self-assessment, using the ICAO Online Framework (OLF) and/or confirmed through EASA SYS inspection.</w:t>
            </w:r>
          </w:p>
        </w:tc>
        <w:tc>
          <w:tcPr>
            <w:tcW w:w="6" w:type="pct"/>
            <w:tcBorders>
              <w:top w:val="single" w:sz="2" w:space="0" w:color="000000"/>
              <w:left w:val="single" w:sz="2" w:space="0" w:color="000000"/>
              <w:bottom w:val="single" w:sz="2" w:space="0" w:color="000000"/>
              <w:right w:val="single" w:sz="2" w:space="0" w:color="000000"/>
            </w:tcBorders>
          </w:tcPr>
          <w:p w14:paraId="481BD6E4" w14:textId="77777777" w:rsidR="00C574A4" w:rsidRPr="00C136D3" w:rsidRDefault="00C574A4" w:rsidP="00C574A4">
            <w:pPr>
              <w:pStyle w:val="Standardtext"/>
            </w:pPr>
          </w:p>
        </w:tc>
      </w:tr>
      <w:tr w:rsidR="00C574A4" w:rsidRPr="007C20E1" w14:paraId="2DEAB44C" w14:textId="77777777" w:rsidTr="00D91489">
        <w:tc>
          <w:tcPr>
            <w:tcW w:w="5000" w:type="pct"/>
            <w:gridSpan w:val="4"/>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2E3B2442" w14:textId="77777777" w:rsidR="00C574A4" w:rsidRPr="00C136D3" w:rsidRDefault="00C574A4" w:rsidP="00C574A4">
            <w:pPr>
              <w:pStyle w:val="Standardtext"/>
            </w:pPr>
            <w:r w:rsidRPr="00340A1F">
              <w:rPr>
                <w:b/>
                <w:bCs/>
              </w:rPr>
              <w:t>Goal 4:</w:t>
            </w:r>
            <w:r>
              <w:rPr>
                <w:b/>
                <w:bCs/>
              </w:rPr>
              <w:t xml:space="preserve"> </w:t>
            </w:r>
            <w:bookmarkStart w:id="176" w:name="_Hlk156975231"/>
            <w:r w:rsidRPr="00340A1F">
              <w:t>Strengthen collaboration at the regional and national levels to address safety issues</w:t>
            </w:r>
            <w:bookmarkEnd w:id="176"/>
          </w:p>
        </w:tc>
      </w:tr>
      <w:tr w:rsidR="00724123" w:rsidRPr="007C20E1" w14:paraId="11E098CE" w14:textId="77777777" w:rsidTr="00992EA9">
        <w:tc>
          <w:tcPr>
            <w:tcW w:w="1661" w:type="pct"/>
            <w:vMerge w:val="restart"/>
            <w:tcBorders>
              <w:top w:val="single" w:sz="2" w:space="0" w:color="000000"/>
              <w:left w:val="single" w:sz="2" w:space="0" w:color="000000"/>
              <w:right w:val="single" w:sz="2" w:space="0" w:color="000000"/>
            </w:tcBorders>
            <w:tcMar>
              <w:top w:w="120" w:type="dxa"/>
              <w:left w:w="120" w:type="dxa"/>
              <w:bottom w:w="120" w:type="dxa"/>
              <w:right w:w="120" w:type="dxa"/>
            </w:tcMar>
            <w:hideMark/>
          </w:tcPr>
          <w:p w14:paraId="2013838E" w14:textId="77777777" w:rsidR="00724123" w:rsidRPr="00340A1F" w:rsidRDefault="00724123" w:rsidP="00724123">
            <w:pPr>
              <w:pStyle w:val="Standardtext"/>
            </w:pPr>
            <w:r w:rsidRPr="00340A1F">
              <w:rPr>
                <w:b/>
                <w:bCs/>
              </w:rPr>
              <w:t>4.1</w:t>
            </w:r>
            <w:r>
              <w:rPr>
                <w:b/>
                <w:bCs/>
              </w:rPr>
              <w:t xml:space="preserve"> </w:t>
            </w:r>
            <w:r w:rsidRPr="00340A1F">
              <w:t xml:space="preserve">By 2026, </w:t>
            </w:r>
            <w:r>
              <w:t xml:space="preserve">all EUR States </w:t>
            </w:r>
            <w:r w:rsidRPr="00340A1F">
              <w:t xml:space="preserve">to </w:t>
            </w:r>
            <w:r>
              <w:t xml:space="preserve">report if they require </w:t>
            </w:r>
            <w:r w:rsidRPr="00340A1F">
              <w:t>assistance to address safety issues</w:t>
            </w:r>
          </w:p>
        </w:tc>
        <w:tc>
          <w:tcPr>
            <w:tcW w:w="899" w:type="pct"/>
            <w:tcBorders>
              <w:top w:val="single" w:sz="2" w:space="0" w:color="000000"/>
              <w:left w:val="single" w:sz="2" w:space="0" w:color="000000"/>
              <w:bottom w:val="single" w:sz="2" w:space="0" w:color="000000"/>
              <w:right w:val="single" w:sz="2" w:space="0" w:color="000000"/>
            </w:tcBorders>
          </w:tcPr>
          <w:p w14:paraId="27AA9E0D" w14:textId="004DED5A" w:rsidR="00724123" w:rsidRPr="00C136D3" w:rsidRDefault="00724123" w:rsidP="00724123">
            <w:pPr>
              <w:pStyle w:val="Standardtext"/>
            </w:pPr>
            <w:r w:rsidRPr="00B12752">
              <w:t>EUR.SPI.4.1.0</w:t>
            </w:r>
            <w:r>
              <w:t>1</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1E8939F2" w14:textId="45A4C0F7" w:rsidR="00724123" w:rsidRPr="00C136D3" w:rsidRDefault="00724123" w:rsidP="00724123">
            <w:pPr>
              <w:pStyle w:val="Standardtext"/>
            </w:pPr>
            <w:r w:rsidRPr="00256F39">
              <w:t>Percentage of States in the region that need assistance to address a low level of SSP implementation as reported through the EUR RASP 2026 Survey</w:t>
            </w:r>
            <w:r>
              <w:t xml:space="preserve">, including </w:t>
            </w:r>
            <w:r w:rsidRPr="00256F39">
              <w:t xml:space="preserve">safety data and safety information collection, analysis and exchange to support </w:t>
            </w:r>
            <w:r>
              <w:t xml:space="preserve">State’s </w:t>
            </w:r>
            <w:r w:rsidRPr="00256F39">
              <w:t>safety management activities</w:t>
            </w:r>
          </w:p>
        </w:tc>
        <w:tc>
          <w:tcPr>
            <w:tcW w:w="6" w:type="pct"/>
            <w:tcBorders>
              <w:top w:val="single" w:sz="2" w:space="0" w:color="000000"/>
              <w:left w:val="single" w:sz="2" w:space="0" w:color="000000"/>
              <w:bottom w:val="single" w:sz="2" w:space="0" w:color="000000"/>
              <w:right w:val="single" w:sz="2" w:space="0" w:color="000000"/>
            </w:tcBorders>
          </w:tcPr>
          <w:p w14:paraId="1180B65C" w14:textId="77777777" w:rsidR="00724123" w:rsidRPr="00C136D3" w:rsidRDefault="00724123" w:rsidP="00724123">
            <w:pPr>
              <w:pStyle w:val="Standardtext"/>
            </w:pPr>
          </w:p>
        </w:tc>
      </w:tr>
      <w:tr w:rsidR="00724123" w:rsidRPr="007C20E1" w14:paraId="0D775C73" w14:textId="77777777" w:rsidTr="00992EA9">
        <w:tc>
          <w:tcPr>
            <w:tcW w:w="1661" w:type="pct"/>
            <w:vMerge/>
            <w:tcBorders>
              <w:left w:val="single" w:sz="2" w:space="0" w:color="000000"/>
              <w:right w:val="single" w:sz="2" w:space="0" w:color="000000"/>
            </w:tcBorders>
            <w:tcMar>
              <w:top w:w="120" w:type="dxa"/>
              <w:left w:w="120" w:type="dxa"/>
              <w:bottom w:w="120" w:type="dxa"/>
              <w:right w:w="120" w:type="dxa"/>
            </w:tcMar>
          </w:tcPr>
          <w:p w14:paraId="7052BED8" w14:textId="77777777" w:rsidR="00724123" w:rsidRPr="00340A1F" w:rsidRDefault="00724123" w:rsidP="00724123">
            <w:pPr>
              <w:pStyle w:val="Standardtext"/>
            </w:pPr>
          </w:p>
        </w:tc>
        <w:tc>
          <w:tcPr>
            <w:tcW w:w="899" w:type="pct"/>
            <w:tcBorders>
              <w:top w:val="single" w:sz="2" w:space="0" w:color="000000"/>
              <w:left w:val="single" w:sz="2" w:space="0" w:color="000000"/>
              <w:bottom w:val="single" w:sz="2" w:space="0" w:color="000000"/>
              <w:right w:val="single" w:sz="2" w:space="0" w:color="000000"/>
            </w:tcBorders>
          </w:tcPr>
          <w:p w14:paraId="31706486" w14:textId="78E2354D" w:rsidR="00724123" w:rsidRPr="007E02E6" w:rsidRDefault="00724123" w:rsidP="00724123">
            <w:pPr>
              <w:pStyle w:val="Standardtext"/>
            </w:pPr>
            <w:r w:rsidRPr="00B12752">
              <w:t>EUR.SPI.4.1.0</w:t>
            </w:r>
            <w:r>
              <w:t>2</w:t>
            </w:r>
            <w:r w:rsidRPr="00B12752">
              <w:t xml:space="preserve"> </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3FCD2C7D" w14:textId="3EAFC9EC" w:rsidR="00724123" w:rsidRPr="00C136D3" w:rsidRDefault="00724123" w:rsidP="00724123">
            <w:pPr>
              <w:pStyle w:val="Standardtext"/>
            </w:pPr>
            <w:r w:rsidRPr="00256F39">
              <w:t xml:space="preserve">Percentage of States in the region that need assistance to address operational safety risks, including HRCs </w:t>
            </w:r>
            <w:r>
              <w:t xml:space="preserve">and ORCs </w:t>
            </w:r>
            <w:r w:rsidRPr="00256F39">
              <w:t>as reported through the EUR RASP 2026 Survey</w:t>
            </w:r>
          </w:p>
        </w:tc>
        <w:tc>
          <w:tcPr>
            <w:tcW w:w="6" w:type="pct"/>
            <w:tcBorders>
              <w:top w:val="single" w:sz="2" w:space="0" w:color="000000"/>
              <w:left w:val="single" w:sz="2" w:space="0" w:color="000000"/>
              <w:bottom w:val="single" w:sz="2" w:space="0" w:color="000000"/>
              <w:right w:val="single" w:sz="2" w:space="0" w:color="000000"/>
            </w:tcBorders>
          </w:tcPr>
          <w:p w14:paraId="3D30A003" w14:textId="77777777" w:rsidR="00724123" w:rsidRPr="00C136D3" w:rsidRDefault="00724123" w:rsidP="00724123">
            <w:pPr>
              <w:pStyle w:val="Standardtext"/>
            </w:pPr>
          </w:p>
        </w:tc>
      </w:tr>
      <w:tr w:rsidR="00724123" w:rsidRPr="007C20E1" w14:paraId="4C6C596D" w14:textId="77777777" w:rsidTr="00992EA9">
        <w:tc>
          <w:tcPr>
            <w:tcW w:w="1661" w:type="pct"/>
            <w:vMerge w:val="restart"/>
            <w:tcBorders>
              <w:top w:val="single" w:sz="2" w:space="0" w:color="000000"/>
              <w:left w:val="single" w:sz="2" w:space="0" w:color="000000"/>
              <w:right w:val="single" w:sz="2" w:space="0" w:color="000000"/>
            </w:tcBorders>
            <w:tcMar>
              <w:top w:w="120" w:type="dxa"/>
              <w:left w:w="120" w:type="dxa"/>
              <w:bottom w:w="120" w:type="dxa"/>
              <w:right w:w="120" w:type="dxa"/>
            </w:tcMar>
            <w:hideMark/>
          </w:tcPr>
          <w:p w14:paraId="2617B7E8" w14:textId="77777777" w:rsidR="00724123" w:rsidRPr="00B33C65" w:rsidRDefault="00724123" w:rsidP="00724123">
            <w:pPr>
              <w:pStyle w:val="Standardtext"/>
              <w:rPr>
                <w:highlight w:val="yellow"/>
              </w:rPr>
            </w:pPr>
            <w:r w:rsidRPr="000D4639">
              <w:lastRenderedPageBreak/>
              <w:t xml:space="preserve">4.2 </w:t>
            </w:r>
            <w:bookmarkStart w:id="177" w:name="_Hlk158702986"/>
            <w:r w:rsidRPr="000D4639">
              <w:t xml:space="preserve">By 2028, EUR to </w:t>
            </w:r>
            <w:bookmarkStart w:id="178" w:name="_Hlk158875404"/>
            <w:r w:rsidRPr="000D4639">
              <w:t>facilitate the required assistance</w:t>
            </w:r>
            <w:bookmarkEnd w:id="178"/>
            <w:r w:rsidRPr="000D4639">
              <w:t xml:space="preserve">, to </w:t>
            </w:r>
            <w:proofErr w:type="gramStart"/>
            <w:r w:rsidRPr="000D4639">
              <w:t>identified</w:t>
            </w:r>
            <w:proofErr w:type="gramEnd"/>
            <w:r w:rsidRPr="000D4639">
              <w:t xml:space="preserve"> States, to address safety issues</w:t>
            </w:r>
            <w:bookmarkEnd w:id="177"/>
          </w:p>
        </w:tc>
        <w:tc>
          <w:tcPr>
            <w:tcW w:w="899" w:type="pct"/>
            <w:tcBorders>
              <w:top w:val="single" w:sz="2" w:space="0" w:color="000000"/>
              <w:left w:val="single" w:sz="2" w:space="0" w:color="000000"/>
              <w:bottom w:val="single" w:sz="2" w:space="0" w:color="000000"/>
              <w:right w:val="single" w:sz="2" w:space="0" w:color="000000"/>
            </w:tcBorders>
          </w:tcPr>
          <w:p w14:paraId="76F6F8C0" w14:textId="596D0E22" w:rsidR="00724123" w:rsidRPr="00C136D3" w:rsidRDefault="00724123" w:rsidP="00724123">
            <w:pPr>
              <w:pStyle w:val="Standardtext"/>
            </w:pPr>
            <w:r w:rsidRPr="007B373E">
              <w:t>EUR.SPI.4.2.0</w:t>
            </w:r>
            <w:r>
              <w:t>1</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7BB1C3CD" w14:textId="16E6062C" w:rsidR="00724123" w:rsidRPr="00C136D3" w:rsidRDefault="00724123" w:rsidP="00724123">
            <w:pPr>
              <w:pStyle w:val="Standardtext"/>
            </w:pPr>
            <w:r w:rsidRPr="00683C8E">
              <w:t xml:space="preserve">Percentage of </w:t>
            </w:r>
            <w:r>
              <w:t xml:space="preserve">EUR </w:t>
            </w:r>
            <w:r w:rsidRPr="00683C8E">
              <w:t xml:space="preserve">States that receive </w:t>
            </w:r>
            <w:r>
              <w:t xml:space="preserve">any </w:t>
            </w:r>
            <w:r w:rsidRPr="00683C8E">
              <w:t xml:space="preserve">assistance to address a low level of SSP implementation </w:t>
            </w:r>
            <w:r w:rsidRPr="00256F39">
              <w:t xml:space="preserve">as </w:t>
            </w:r>
            <w:r>
              <w:t xml:space="preserve">reported </w:t>
            </w:r>
            <w:r w:rsidRPr="00256F39">
              <w:t xml:space="preserve">through the </w:t>
            </w:r>
            <w:r>
              <w:t xml:space="preserve">annual </w:t>
            </w:r>
            <w:r w:rsidRPr="00256F39">
              <w:t>EUR RASP Survey</w:t>
            </w:r>
            <w:r>
              <w:t xml:space="preserve">s by States identified in 4.1, including any </w:t>
            </w:r>
            <w:r w:rsidRPr="00683C8E">
              <w:t xml:space="preserve">assistance to address deficiencies in safety data and safety information collection, analysis and exchange, to support </w:t>
            </w:r>
            <w:r>
              <w:t xml:space="preserve">State’s </w:t>
            </w:r>
            <w:r w:rsidRPr="00683C8E">
              <w:t>safety management activities</w:t>
            </w:r>
            <w:r>
              <w:t>.</w:t>
            </w:r>
          </w:p>
        </w:tc>
        <w:tc>
          <w:tcPr>
            <w:tcW w:w="6" w:type="pct"/>
            <w:tcBorders>
              <w:top w:val="single" w:sz="2" w:space="0" w:color="000000"/>
              <w:left w:val="single" w:sz="2" w:space="0" w:color="000000"/>
              <w:bottom w:val="single" w:sz="2" w:space="0" w:color="000000"/>
              <w:right w:val="single" w:sz="2" w:space="0" w:color="000000"/>
            </w:tcBorders>
          </w:tcPr>
          <w:p w14:paraId="6DB17898" w14:textId="77777777" w:rsidR="00724123" w:rsidRPr="00C136D3" w:rsidRDefault="00724123" w:rsidP="00724123">
            <w:pPr>
              <w:pStyle w:val="Standardtext"/>
            </w:pPr>
          </w:p>
        </w:tc>
      </w:tr>
      <w:tr w:rsidR="00724123" w:rsidRPr="007C20E1" w14:paraId="1A8E2C8C" w14:textId="77777777" w:rsidTr="00992EA9">
        <w:tc>
          <w:tcPr>
            <w:tcW w:w="1661" w:type="pct"/>
            <w:vMerge/>
            <w:tcBorders>
              <w:left w:val="single" w:sz="2" w:space="0" w:color="000000"/>
              <w:right w:val="single" w:sz="2" w:space="0" w:color="000000"/>
            </w:tcBorders>
            <w:tcMar>
              <w:top w:w="120" w:type="dxa"/>
              <w:left w:w="120" w:type="dxa"/>
              <w:bottom w:w="120" w:type="dxa"/>
              <w:right w:w="120" w:type="dxa"/>
            </w:tcMar>
          </w:tcPr>
          <w:p w14:paraId="2E15BD2E" w14:textId="77777777" w:rsidR="00724123" w:rsidRPr="00B33C65" w:rsidRDefault="00724123" w:rsidP="00724123">
            <w:pPr>
              <w:pStyle w:val="Standardtext"/>
              <w:rPr>
                <w:highlight w:val="yellow"/>
              </w:rPr>
            </w:pPr>
          </w:p>
        </w:tc>
        <w:tc>
          <w:tcPr>
            <w:tcW w:w="899" w:type="pct"/>
            <w:tcBorders>
              <w:top w:val="single" w:sz="2" w:space="0" w:color="000000"/>
              <w:left w:val="single" w:sz="2" w:space="0" w:color="000000"/>
              <w:bottom w:val="single" w:sz="2" w:space="0" w:color="000000"/>
              <w:right w:val="single" w:sz="2" w:space="0" w:color="000000"/>
            </w:tcBorders>
          </w:tcPr>
          <w:p w14:paraId="130756FE" w14:textId="0B766E2B" w:rsidR="00724123" w:rsidRPr="007E02E6" w:rsidRDefault="00724123" w:rsidP="00724123">
            <w:pPr>
              <w:pStyle w:val="Standardtext"/>
            </w:pPr>
            <w:r w:rsidRPr="007B373E">
              <w:t>EUR.SPI.4.2.</w:t>
            </w:r>
            <w:r>
              <w:t>02</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1BA11A7A" w14:textId="7654FBBF" w:rsidR="00724123" w:rsidRPr="00C136D3" w:rsidRDefault="00724123" w:rsidP="00724123">
            <w:pPr>
              <w:pStyle w:val="Standardtext"/>
            </w:pPr>
            <w:r w:rsidRPr="00683C8E">
              <w:t xml:space="preserve">Percentage of </w:t>
            </w:r>
            <w:r>
              <w:t xml:space="preserve">EUR </w:t>
            </w:r>
            <w:r w:rsidRPr="00683C8E">
              <w:t xml:space="preserve">States that receive </w:t>
            </w:r>
            <w:r>
              <w:t xml:space="preserve">any </w:t>
            </w:r>
            <w:r w:rsidRPr="00683C8E">
              <w:t>assistance to address operational safety risks, including HRCs</w:t>
            </w:r>
            <w:r>
              <w:t xml:space="preserve"> and ORCs</w:t>
            </w:r>
            <w:r w:rsidRPr="00683C8E">
              <w:t xml:space="preserve"> </w:t>
            </w:r>
            <w:r w:rsidRPr="00256F39">
              <w:t xml:space="preserve">as </w:t>
            </w:r>
            <w:r>
              <w:t xml:space="preserve">reported </w:t>
            </w:r>
            <w:r w:rsidRPr="00256F39">
              <w:t xml:space="preserve">through the </w:t>
            </w:r>
            <w:r>
              <w:t xml:space="preserve">annual </w:t>
            </w:r>
            <w:r w:rsidRPr="00256F39">
              <w:t>EUR RASP Survey</w:t>
            </w:r>
            <w:r>
              <w:t>s by States identified in 4.1</w:t>
            </w:r>
          </w:p>
        </w:tc>
        <w:tc>
          <w:tcPr>
            <w:tcW w:w="6" w:type="pct"/>
            <w:tcBorders>
              <w:top w:val="single" w:sz="2" w:space="0" w:color="000000"/>
              <w:left w:val="single" w:sz="2" w:space="0" w:color="000000"/>
              <w:bottom w:val="single" w:sz="2" w:space="0" w:color="000000"/>
              <w:right w:val="single" w:sz="2" w:space="0" w:color="000000"/>
            </w:tcBorders>
          </w:tcPr>
          <w:p w14:paraId="0E8189BF" w14:textId="77777777" w:rsidR="00724123" w:rsidRPr="00C136D3" w:rsidRDefault="00724123" w:rsidP="00724123">
            <w:pPr>
              <w:pStyle w:val="Standardtext"/>
            </w:pPr>
          </w:p>
        </w:tc>
      </w:tr>
      <w:tr w:rsidR="00996DA7" w:rsidRPr="007C20E1" w14:paraId="43379937" w14:textId="77777777" w:rsidTr="00992EA9">
        <w:tc>
          <w:tcPr>
            <w:tcW w:w="1661" w:type="pct"/>
            <w:tcBorders>
              <w:top w:val="single" w:sz="2" w:space="0" w:color="000000"/>
              <w:left w:val="single" w:sz="2" w:space="0" w:color="000000"/>
              <w:right w:val="single" w:sz="2" w:space="0" w:color="000000"/>
            </w:tcBorders>
            <w:tcMar>
              <w:top w:w="120" w:type="dxa"/>
              <w:left w:w="120" w:type="dxa"/>
              <w:bottom w:w="120" w:type="dxa"/>
              <w:right w:w="120" w:type="dxa"/>
            </w:tcMar>
            <w:hideMark/>
          </w:tcPr>
          <w:p w14:paraId="6B49F753" w14:textId="4A9149D2" w:rsidR="00996DA7" w:rsidRPr="00340A1F" w:rsidRDefault="00996DA7" w:rsidP="00996DA7">
            <w:pPr>
              <w:pStyle w:val="Standardtext"/>
            </w:pPr>
            <w:r w:rsidRPr="00340A1F">
              <w:rPr>
                <w:b/>
                <w:bCs/>
                <w:lang w:val="en-CA"/>
              </w:rPr>
              <w:t>4.3</w:t>
            </w:r>
            <w:r>
              <w:rPr>
                <w:b/>
                <w:bCs/>
                <w:lang w:val="en-CA"/>
              </w:rPr>
              <w:t xml:space="preserve"> </w:t>
            </w:r>
            <w:r w:rsidRPr="00340A1F">
              <w:t xml:space="preserve">By 2027, </w:t>
            </w:r>
            <w:r>
              <w:t xml:space="preserve">EUR </w:t>
            </w:r>
            <w:r w:rsidRPr="00340A1F">
              <w:t>to implement a mechanism to make use of the information on operational safety risks and emerging issues for the purpose of aviation safety planning</w:t>
            </w:r>
            <w:r>
              <w:rPr>
                <w:rStyle w:val="FootnoteReference"/>
              </w:rPr>
              <w:footnoteReference w:id="22"/>
            </w:r>
          </w:p>
        </w:tc>
        <w:tc>
          <w:tcPr>
            <w:tcW w:w="899" w:type="pct"/>
            <w:tcBorders>
              <w:top w:val="single" w:sz="2" w:space="0" w:color="000000"/>
              <w:left w:val="single" w:sz="2" w:space="0" w:color="000000"/>
              <w:bottom w:val="single" w:sz="2" w:space="0" w:color="000000"/>
              <w:right w:val="single" w:sz="2" w:space="0" w:color="000000"/>
            </w:tcBorders>
          </w:tcPr>
          <w:p w14:paraId="0FA22E35" w14:textId="4FF3B36D" w:rsidR="00996DA7" w:rsidRPr="00C136D3" w:rsidRDefault="00996DA7" w:rsidP="00996DA7">
            <w:pPr>
              <w:pStyle w:val="Standardtext"/>
            </w:pPr>
            <w:r w:rsidRPr="001B7288">
              <w:t>EUR.SPI.4.3.0</w:t>
            </w:r>
            <w:r>
              <w:t>1</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54865E0A" w14:textId="0A953582" w:rsidR="00996DA7" w:rsidRPr="00C136D3" w:rsidRDefault="00996DA7" w:rsidP="00996DA7">
            <w:pPr>
              <w:pStyle w:val="Standardtext"/>
            </w:pPr>
            <w:r w:rsidRPr="00122523">
              <w:t>Number of studies/analyses conducted by EASPG RESG based on reports received via Secure Portal on Operational Safety Risks and Emerging Issues</w:t>
            </w:r>
          </w:p>
        </w:tc>
        <w:tc>
          <w:tcPr>
            <w:tcW w:w="6" w:type="pct"/>
            <w:tcBorders>
              <w:top w:val="single" w:sz="2" w:space="0" w:color="000000"/>
              <w:left w:val="single" w:sz="2" w:space="0" w:color="000000"/>
              <w:bottom w:val="single" w:sz="2" w:space="0" w:color="000000"/>
              <w:right w:val="single" w:sz="2" w:space="0" w:color="000000"/>
            </w:tcBorders>
          </w:tcPr>
          <w:p w14:paraId="41D27DF9" w14:textId="77777777" w:rsidR="00996DA7" w:rsidRPr="00C136D3" w:rsidRDefault="00996DA7" w:rsidP="00996DA7">
            <w:pPr>
              <w:pStyle w:val="Standardtext"/>
            </w:pPr>
          </w:p>
        </w:tc>
      </w:tr>
      <w:tr w:rsidR="00996DA7" w:rsidRPr="007C20E1" w14:paraId="0152A2C6" w14:textId="77777777" w:rsidTr="00992EA9">
        <w:tc>
          <w:tcPr>
            <w:tcW w:w="1661" w:type="pct"/>
            <w:tcBorders>
              <w:left w:val="single" w:sz="2" w:space="0" w:color="000000"/>
              <w:bottom w:val="single" w:sz="2" w:space="0" w:color="000000"/>
              <w:right w:val="single" w:sz="2" w:space="0" w:color="000000"/>
            </w:tcBorders>
            <w:tcMar>
              <w:top w:w="120" w:type="dxa"/>
              <w:left w:w="120" w:type="dxa"/>
              <w:bottom w:w="120" w:type="dxa"/>
              <w:right w:w="120" w:type="dxa"/>
            </w:tcMar>
          </w:tcPr>
          <w:p w14:paraId="25145B1C" w14:textId="3993367B" w:rsidR="00996DA7" w:rsidRPr="00340A1F" w:rsidRDefault="00996DA7" w:rsidP="00996DA7">
            <w:pPr>
              <w:pStyle w:val="Standardtext"/>
            </w:pPr>
            <w:r w:rsidRPr="00340A1F">
              <w:rPr>
                <w:b/>
                <w:bCs/>
                <w:lang w:val="en-CA"/>
              </w:rPr>
              <w:t>4.</w:t>
            </w:r>
            <w:r>
              <w:rPr>
                <w:b/>
                <w:bCs/>
                <w:lang w:val="en-CA"/>
              </w:rPr>
              <w:t xml:space="preserve">4 </w:t>
            </w:r>
            <w:r w:rsidRPr="00340A1F">
              <w:t>By 202</w:t>
            </w:r>
            <w:r>
              <w:t>8</w:t>
            </w:r>
            <w:r w:rsidRPr="00340A1F">
              <w:t xml:space="preserve">, </w:t>
            </w:r>
            <w:r>
              <w:t xml:space="preserve">EUR </w:t>
            </w:r>
            <w:r w:rsidRPr="00340A1F">
              <w:t xml:space="preserve">to </w:t>
            </w:r>
            <w:r>
              <w:t>increase at or above 70% the percentage of EUR State’s participating in ICAO EUR regional safety groups (in person or remotely)</w:t>
            </w:r>
          </w:p>
        </w:tc>
        <w:tc>
          <w:tcPr>
            <w:tcW w:w="899" w:type="pct"/>
            <w:tcBorders>
              <w:top w:val="single" w:sz="2" w:space="0" w:color="000000"/>
              <w:left w:val="single" w:sz="2" w:space="0" w:color="000000"/>
              <w:bottom w:val="single" w:sz="2" w:space="0" w:color="000000"/>
              <w:right w:val="single" w:sz="2" w:space="0" w:color="000000"/>
            </w:tcBorders>
          </w:tcPr>
          <w:p w14:paraId="18F80655" w14:textId="467EC6EB" w:rsidR="00996DA7" w:rsidRPr="001B7288" w:rsidRDefault="00996DA7" w:rsidP="00996DA7">
            <w:pPr>
              <w:pStyle w:val="Standardtext"/>
            </w:pPr>
            <w:r w:rsidRPr="001B7288">
              <w:t>EUR.SPI.4.</w:t>
            </w:r>
            <w:r>
              <w:t>4</w:t>
            </w:r>
            <w:r w:rsidRPr="001B7288">
              <w:t>.0</w:t>
            </w:r>
            <w:r>
              <w:t>1</w:t>
            </w:r>
            <w:r w:rsidRPr="001B7288">
              <w:t xml:space="preserve"> </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7E17B774" w14:textId="0777D47D" w:rsidR="00996DA7" w:rsidRPr="00996DA7" w:rsidRDefault="00996DA7" w:rsidP="00996DA7">
            <w:pPr>
              <w:pStyle w:val="Standardtext"/>
            </w:pPr>
            <w:r w:rsidRPr="00996DA7">
              <w:t>Percentage of EUR State’s that are listed at least in one of the participation lists for a consecutive 2 bi-annual meetings as in-person or remote participants.</w:t>
            </w:r>
          </w:p>
        </w:tc>
        <w:tc>
          <w:tcPr>
            <w:tcW w:w="6" w:type="pct"/>
            <w:tcBorders>
              <w:top w:val="single" w:sz="2" w:space="0" w:color="000000"/>
              <w:left w:val="single" w:sz="2" w:space="0" w:color="000000"/>
              <w:bottom w:val="single" w:sz="2" w:space="0" w:color="000000"/>
              <w:right w:val="single" w:sz="2" w:space="0" w:color="000000"/>
            </w:tcBorders>
          </w:tcPr>
          <w:p w14:paraId="6EE5CF67" w14:textId="77777777" w:rsidR="00996DA7" w:rsidRPr="00C136D3" w:rsidRDefault="00996DA7" w:rsidP="00996DA7">
            <w:pPr>
              <w:pStyle w:val="Standardtext"/>
            </w:pPr>
          </w:p>
        </w:tc>
      </w:tr>
      <w:tr w:rsidR="00996DA7" w:rsidRPr="007C20E1" w14:paraId="630DD5F0" w14:textId="77777777" w:rsidTr="00D91489">
        <w:tc>
          <w:tcPr>
            <w:tcW w:w="5000" w:type="pct"/>
            <w:gridSpan w:val="4"/>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1C4A222D" w14:textId="77777777" w:rsidR="00996DA7" w:rsidRPr="00C136D3" w:rsidRDefault="00996DA7" w:rsidP="00996DA7">
            <w:pPr>
              <w:pStyle w:val="Standardtext"/>
            </w:pPr>
            <w:bookmarkStart w:id="179" w:name="_Hlk212811706"/>
            <w:r w:rsidRPr="00340A1F">
              <w:rPr>
                <w:b/>
                <w:bCs/>
              </w:rPr>
              <w:t>Goal 5</w:t>
            </w:r>
            <w:proofErr w:type="gramStart"/>
            <w:r w:rsidRPr="00340A1F">
              <w:rPr>
                <w:b/>
                <w:bCs/>
              </w:rPr>
              <w:t xml:space="preserve">: </w:t>
            </w:r>
            <w:r>
              <w:rPr>
                <w:b/>
                <w:bCs/>
              </w:rPr>
              <w:t xml:space="preserve"> </w:t>
            </w:r>
            <w:bookmarkStart w:id="180" w:name="_Hlk156976218"/>
            <w:r w:rsidRPr="00340A1F">
              <w:t>Strengthen</w:t>
            </w:r>
            <w:proofErr w:type="gramEnd"/>
            <w:r w:rsidRPr="00340A1F">
              <w:t xml:space="preserve"> aviation safety planning</w:t>
            </w:r>
            <w:bookmarkEnd w:id="180"/>
          </w:p>
        </w:tc>
      </w:tr>
      <w:bookmarkEnd w:id="179"/>
      <w:tr w:rsidR="00996DA7" w:rsidRPr="007C20E1" w14:paraId="40B6B3E2" w14:textId="77777777" w:rsidTr="00992EA9">
        <w:tc>
          <w:tcPr>
            <w:tcW w:w="1661"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7E57B4B3" w14:textId="112BBED7" w:rsidR="00996DA7" w:rsidRPr="005B12F5" w:rsidRDefault="00996DA7" w:rsidP="00996DA7">
            <w:pPr>
              <w:pStyle w:val="Standardtext"/>
            </w:pPr>
            <w:r w:rsidRPr="00340A1F">
              <w:rPr>
                <w:b/>
                <w:bCs/>
                <w:lang w:val="en-CA"/>
              </w:rPr>
              <w:t>5.</w:t>
            </w:r>
            <w:r w:rsidR="00C445C8">
              <w:rPr>
                <w:b/>
                <w:bCs/>
                <w:lang w:val="en-CA"/>
              </w:rPr>
              <w:t>1</w:t>
            </w:r>
            <w:r>
              <w:rPr>
                <w:b/>
                <w:bCs/>
                <w:lang w:val="en-CA"/>
              </w:rPr>
              <w:t xml:space="preserve"> </w:t>
            </w:r>
            <w:r w:rsidRPr="005B12F5">
              <w:t>By 202</w:t>
            </w:r>
            <w:r w:rsidR="003A137B">
              <w:t>7</w:t>
            </w:r>
            <w:r w:rsidRPr="005B12F5">
              <w:t xml:space="preserve">, all </w:t>
            </w:r>
            <w:r>
              <w:t xml:space="preserve">EUR </w:t>
            </w:r>
            <w:r w:rsidRPr="005B12F5">
              <w:t xml:space="preserve">States to publish an updated national aviation safety plan (NASP), taking into consideration the 2026-2028 edition of the GASP </w:t>
            </w:r>
            <w:r>
              <w:t>and EUR RASP</w:t>
            </w:r>
          </w:p>
        </w:tc>
        <w:tc>
          <w:tcPr>
            <w:tcW w:w="899" w:type="pct"/>
            <w:tcBorders>
              <w:top w:val="single" w:sz="2" w:space="0" w:color="000000"/>
              <w:left w:val="single" w:sz="2" w:space="0" w:color="000000"/>
              <w:bottom w:val="single" w:sz="2" w:space="0" w:color="000000"/>
              <w:right w:val="single" w:sz="2" w:space="0" w:color="000000"/>
            </w:tcBorders>
          </w:tcPr>
          <w:p w14:paraId="05BC3356" w14:textId="5CBC3D0B" w:rsidR="00996DA7" w:rsidRPr="00C136D3" w:rsidRDefault="00996DA7" w:rsidP="00996DA7">
            <w:pPr>
              <w:pStyle w:val="Standardtext"/>
            </w:pPr>
            <w:r w:rsidRPr="007E02E6">
              <w:t>EUR.SPI.</w:t>
            </w:r>
            <w:r>
              <w:t>5</w:t>
            </w:r>
            <w:r w:rsidRPr="007E02E6">
              <w:t>.</w:t>
            </w:r>
            <w:r w:rsidR="009C086B">
              <w:t>1</w:t>
            </w:r>
            <w:r w:rsidRPr="007E02E6">
              <w:t>.0</w:t>
            </w:r>
            <w:r>
              <w:t>1</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200A2AE8" w14:textId="77777777" w:rsidR="00996DA7" w:rsidRPr="00C136D3" w:rsidRDefault="00996DA7" w:rsidP="00996DA7">
            <w:pPr>
              <w:pStyle w:val="Standardtext"/>
            </w:pPr>
            <w:bookmarkStart w:id="181" w:name="_Hlk158703131"/>
            <w:r>
              <w:t xml:space="preserve">Percentage </w:t>
            </w:r>
            <w:r w:rsidRPr="00C136D3">
              <w:t xml:space="preserve">of </w:t>
            </w:r>
            <w:r>
              <w:t xml:space="preserve">EUR </w:t>
            </w:r>
            <w:r w:rsidRPr="00C136D3">
              <w:t>States that published an updated NASP</w:t>
            </w:r>
            <w:bookmarkEnd w:id="181"/>
          </w:p>
          <w:p w14:paraId="411CD6C1" w14:textId="77777777" w:rsidR="00996DA7" w:rsidRPr="00C136D3" w:rsidRDefault="00996DA7" w:rsidP="00996DA7">
            <w:pPr>
              <w:pStyle w:val="Standardtext"/>
            </w:pPr>
            <w:r w:rsidRPr="00C136D3">
              <w:t xml:space="preserve"> </w:t>
            </w:r>
          </w:p>
        </w:tc>
        <w:tc>
          <w:tcPr>
            <w:tcW w:w="6" w:type="pct"/>
            <w:tcBorders>
              <w:top w:val="single" w:sz="2" w:space="0" w:color="000000"/>
              <w:left w:val="single" w:sz="2" w:space="0" w:color="000000"/>
              <w:bottom w:val="single" w:sz="2" w:space="0" w:color="000000"/>
              <w:right w:val="single" w:sz="2" w:space="0" w:color="000000"/>
            </w:tcBorders>
          </w:tcPr>
          <w:p w14:paraId="0A67871A" w14:textId="77777777" w:rsidR="00996DA7" w:rsidRPr="00C136D3" w:rsidRDefault="00996DA7" w:rsidP="00996DA7">
            <w:pPr>
              <w:pStyle w:val="Standardtext"/>
            </w:pPr>
          </w:p>
        </w:tc>
      </w:tr>
      <w:tr w:rsidR="00996DA7" w:rsidRPr="007C20E1" w14:paraId="733273F3" w14:textId="77777777" w:rsidTr="00D91489">
        <w:tc>
          <w:tcPr>
            <w:tcW w:w="5000" w:type="pct"/>
            <w:gridSpan w:val="4"/>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1193EE87" w14:textId="77777777" w:rsidR="00996DA7" w:rsidRPr="00C136D3" w:rsidRDefault="00996DA7" w:rsidP="00996DA7">
            <w:pPr>
              <w:pStyle w:val="Standardtext"/>
            </w:pPr>
            <w:r w:rsidRPr="00340A1F">
              <w:rPr>
                <w:b/>
                <w:bCs/>
              </w:rPr>
              <w:t>Goal 6:</w:t>
            </w:r>
            <w:r>
              <w:rPr>
                <w:b/>
                <w:bCs/>
              </w:rPr>
              <w:t xml:space="preserve"> </w:t>
            </w:r>
            <w:bookmarkStart w:id="182" w:name="_Hlk156976231"/>
            <w:r w:rsidRPr="00340A1F">
              <w:t xml:space="preserve">Expand the use of industry safety assessment and safety data sharing programmes </w:t>
            </w:r>
            <w:bookmarkEnd w:id="182"/>
          </w:p>
        </w:tc>
      </w:tr>
      <w:tr w:rsidR="00996DA7" w:rsidRPr="007C20E1" w14:paraId="4CCAF0C0" w14:textId="77777777" w:rsidTr="00992EA9">
        <w:tc>
          <w:tcPr>
            <w:tcW w:w="1661" w:type="pct"/>
            <w:vMerge w:val="restart"/>
            <w:tcBorders>
              <w:top w:val="single" w:sz="2" w:space="0" w:color="000000"/>
              <w:left w:val="single" w:sz="2" w:space="0" w:color="000000"/>
              <w:right w:val="single" w:sz="2" w:space="0" w:color="000000"/>
            </w:tcBorders>
            <w:tcMar>
              <w:top w:w="120" w:type="dxa"/>
              <w:left w:w="120" w:type="dxa"/>
              <w:bottom w:w="120" w:type="dxa"/>
              <w:right w:w="120" w:type="dxa"/>
            </w:tcMar>
            <w:hideMark/>
          </w:tcPr>
          <w:p w14:paraId="71973958" w14:textId="77777777" w:rsidR="00996DA7" w:rsidRPr="00340A1F" w:rsidRDefault="00996DA7" w:rsidP="00996DA7">
            <w:pPr>
              <w:pStyle w:val="Standardtext"/>
            </w:pPr>
            <w:r w:rsidRPr="00340A1F">
              <w:rPr>
                <w:b/>
                <w:bCs/>
                <w:lang w:val="en-CA"/>
              </w:rPr>
              <w:lastRenderedPageBreak/>
              <w:t>6.1</w:t>
            </w:r>
            <w:r>
              <w:rPr>
                <w:b/>
                <w:bCs/>
                <w:lang w:val="en-CA"/>
              </w:rPr>
              <w:t xml:space="preserve"> </w:t>
            </w:r>
            <w:r w:rsidRPr="00340A1F">
              <w:t xml:space="preserve">By 2028, industry </w:t>
            </w:r>
            <w:r>
              <w:t xml:space="preserve">from EUR States </w:t>
            </w:r>
            <w:r w:rsidRPr="00340A1F">
              <w:t>to maintain an increasing trend in its use of industry safety assessment and safety data sharing programmes</w:t>
            </w:r>
          </w:p>
        </w:tc>
        <w:tc>
          <w:tcPr>
            <w:tcW w:w="899" w:type="pct"/>
            <w:tcBorders>
              <w:top w:val="single" w:sz="2" w:space="0" w:color="000000"/>
              <w:left w:val="single" w:sz="2" w:space="0" w:color="000000"/>
              <w:bottom w:val="single" w:sz="2" w:space="0" w:color="000000"/>
              <w:right w:val="single" w:sz="2" w:space="0" w:color="000000"/>
            </w:tcBorders>
          </w:tcPr>
          <w:p w14:paraId="517FDFC7" w14:textId="0AC9650F" w:rsidR="00996DA7" w:rsidRPr="00C136D3" w:rsidRDefault="00996DA7" w:rsidP="00996DA7">
            <w:pPr>
              <w:pStyle w:val="Standardtext"/>
            </w:pPr>
            <w:r w:rsidRPr="007E02E6">
              <w:t>EUR.SPI.</w:t>
            </w:r>
            <w:r>
              <w:t>6</w:t>
            </w:r>
            <w:r w:rsidRPr="007E02E6">
              <w:t>.</w:t>
            </w:r>
            <w:r>
              <w:t>1</w:t>
            </w:r>
            <w:r w:rsidRPr="007E02E6">
              <w:t>.0</w:t>
            </w:r>
            <w:r>
              <w:t>1</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31B8A40B" w14:textId="77777777" w:rsidR="00996DA7" w:rsidRPr="00C136D3" w:rsidRDefault="00996DA7" w:rsidP="00996DA7">
            <w:pPr>
              <w:pStyle w:val="Standardtext"/>
            </w:pPr>
            <w:r w:rsidRPr="00C136D3">
              <w:t xml:space="preserve">Number of service providers </w:t>
            </w:r>
            <w:r>
              <w:t xml:space="preserve">from EUR States </w:t>
            </w:r>
            <w:r w:rsidRPr="00C136D3">
              <w:t xml:space="preserve">participating in </w:t>
            </w:r>
            <w:r>
              <w:t>IOSA as reported annually by IATA</w:t>
            </w:r>
          </w:p>
        </w:tc>
        <w:tc>
          <w:tcPr>
            <w:tcW w:w="6" w:type="pct"/>
            <w:tcBorders>
              <w:top w:val="single" w:sz="2" w:space="0" w:color="000000"/>
              <w:left w:val="single" w:sz="2" w:space="0" w:color="000000"/>
              <w:bottom w:val="single" w:sz="2" w:space="0" w:color="000000"/>
              <w:right w:val="single" w:sz="2" w:space="0" w:color="000000"/>
            </w:tcBorders>
          </w:tcPr>
          <w:p w14:paraId="137A102B" w14:textId="77777777" w:rsidR="00996DA7" w:rsidRPr="00C136D3" w:rsidRDefault="00996DA7" w:rsidP="00996DA7">
            <w:pPr>
              <w:pStyle w:val="Standardtext"/>
            </w:pPr>
          </w:p>
        </w:tc>
      </w:tr>
      <w:tr w:rsidR="00996DA7" w:rsidRPr="007C20E1" w14:paraId="0A121094" w14:textId="77777777" w:rsidTr="00992EA9">
        <w:tc>
          <w:tcPr>
            <w:tcW w:w="1661" w:type="pct"/>
            <w:vMerge/>
            <w:tcBorders>
              <w:left w:val="single" w:sz="2" w:space="0" w:color="000000"/>
              <w:right w:val="single" w:sz="2" w:space="0" w:color="000000"/>
            </w:tcBorders>
            <w:tcMar>
              <w:top w:w="120" w:type="dxa"/>
              <w:left w:w="120" w:type="dxa"/>
              <w:bottom w:w="120" w:type="dxa"/>
              <w:right w:w="120" w:type="dxa"/>
            </w:tcMar>
          </w:tcPr>
          <w:p w14:paraId="2082D942" w14:textId="77777777" w:rsidR="00996DA7" w:rsidRPr="00340A1F" w:rsidRDefault="00996DA7" w:rsidP="00996DA7">
            <w:pPr>
              <w:pStyle w:val="Standardtext"/>
            </w:pPr>
          </w:p>
        </w:tc>
        <w:tc>
          <w:tcPr>
            <w:tcW w:w="899" w:type="pct"/>
            <w:tcBorders>
              <w:top w:val="single" w:sz="2" w:space="0" w:color="000000"/>
              <w:left w:val="single" w:sz="2" w:space="0" w:color="000000"/>
              <w:bottom w:val="single" w:sz="2" w:space="0" w:color="000000"/>
              <w:right w:val="single" w:sz="2" w:space="0" w:color="000000"/>
            </w:tcBorders>
          </w:tcPr>
          <w:p w14:paraId="56D574D8" w14:textId="2F846607" w:rsidR="00996DA7" w:rsidRPr="00C136D3" w:rsidRDefault="00996DA7" w:rsidP="00996DA7">
            <w:pPr>
              <w:pStyle w:val="Standardtext"/>
            </w:pPr>
            <w:r w:rsidRPr="007E02E6">
              <w:t>EUR.SPI.</w:t>
            </w:r>
            <w:r>
              <w:t>6</w:t>
            </w:r>
            <w:r w:rsidRPr="007E02E6">
              <w:t>.</w:t>
            </w:r>
            <w:r>
              <w:t>1</w:t>
            </w:r>
            <w:r w:rsidRPr="007E02E6">
              <w:t>.0</w:t>
            </w:r>
            <w:r>
              <w:t>2</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55F06154" w14:textId="77777777" w:rsidR="00996DA7" w:rsidRPr="00C136D3" w:rsidRDefault="00996DA7" w:rsidP="00996DA7">
            <w:pPr>
              <w:pStyle w:val="Standardtext"/>
            </w:pPr>
            <w:r w:rsidRPr="00C136D3">
              <w:t xml:space="preserve">Number of service providers </w:t>
            </w:r>
            <w:r>
              <w:t xml:space="preserve">from EUR States </w:t>
            </w:r>
            <w:r w:rsidRPr="00C136D3">
              <w:t xml:space="preserve">participating in </w:t>
            </w:r>
            <w:r>
              <w:t>ISAGO as reported annually by IATA</w:t>
            </w:r>
          </w:p>
        </w:tc>
        <w:tc>
          <w:tcPr>
            <w:tcW w:w="6" w:type="pct"/>
            <w:tcBorders>
              <w:top w:val="single" w:sz="2" w:space="0" w:color="000000"/>
              <w:left w:val="single" w:sz="2" w:space="0" w:color="000000"/>
              <w:bottom w:val="single" w:sz="2" w:space="0" w:color="000000"/>
              <w:right w:val="single" w:sz="2" w:space="0" w:color="000000"/>
            </w:tcBorders>
          </w:tcPr>
          <w:p w14:paraId="01D2ABB6" w14:textId="77777777" w:rsidR="00996DA7" w:rsidRPr="00C136D3" w:rsidRDefault="00996DA7" w:rsidP="00996DA7">
            <w:pPr>
              <w:pStyle w:val="Standardtext"/>
            </w:pPr>
          </w:p>
        </w:tc>
      </w:tr>
      <w:tr w:rsidR="00996DA7" w:rsidRPr="007C20E1" w14:paraId="6FC50923" w14:textId="77777777" w:rsidTr="00992EA9">
        <w:tc>
          <w:tcPr>
            <w:tcW w:w="1661" w:type="pct"/>
            <w:vMerge/>
            <w:tcBorders>
              <w:left w:val="single" w:sz="2" w:space="0" w:color="000000"/>
              <w:right w:val="single" w:sz="2" w:space="0" w:color="000000"/>
            </w:tcBorders>
            <w:tcMar>
              <w:top w:w="120" w:type="dxa"/>
              <w:left w:w="120" w:type="dxa"/>
              <w:bottom w:w="120" w:type="dxa"/>
              <w:right w:w="120" w:type="dxa"/>
            </w:tcMar>
          </w:tcPr>
          <w:p w14:paraId="7212BEBA" w14:textId="77777777" w:rsidR="00996DA7" w:rsidRPr="00340A1F" w:rsidRDefault="00996DA7" w:rsidP="00996DA7">
            <w:pPr>
              <w:pStyle w:val="Standardtext"/>
            </w:pPr>
          </w:p>
        </w:tc>
        <w:tc>
          <w:tcPr>
            <w:tcW w:w="899" w:type="pct"/>
            <w:tcBorders>
              <w:top w:val="single" w:sz="2" w:space="0" w:color="000000"/>
              <w:left w:val="single" w:sz="2" w:space="0" w:color="000000"/>
              <w:bottom w:val="single" w:sz="2" w:space="0" w:color="000000"/>
              <w:right w:val="single" w:sz="2" w:space="0" w:color="000000"/>
            </w:tcBorders>
          </w:tcPr>
          <w:p w14:paraId="542BE8E9" w14:textId="3560A182" w:rsidR="00996DA7" w:rsidRPr="00C136D3" w:rsidRDefault="00996DA7" w:rsidP="00996DA7">
            <w:pPr>
              <w:pStyle w:val="Standardtext"/>
            </w:pPr>
            <w:r w:rsidRPr="007E02E6">
              <w:t>EUR.SPI.</w:t>
            </w:r>
            <w:r>
              <w:t>6</w:t>
            </w:r>
            <w:r w:rsidRPr="007E02E6">
              <w:t>.</w:t>
            </w:r>
            <w:r>
              <w:t>1</w:t>
            </w:r>
            <w:r w:rsidRPr="007E02E6">
              <w:t>.0</w:t>
            </w:r>
            <w:r>
              <w:t>3</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33930D3C" w14:textId="77777777" w:rsidR="00996DA7" w:rsidRPr="00C136D3" w:rsidRDefault="00996DA7" w:rsidP="00996DA7">
            <w:pPr>
              <w:pStyle w:val="Standardtext"/>
            </w:pPr>
            <w:r w:rsidRPr="00C136D3">
              <w:t xml:space="preserve">Number of service providers </w:t>
            </w:r>
            <w:r>
              <w:t xml:space="preserve">from EUR States </w:t>
            </w:r>
            <w:r w:rsidRPr="00C136D3">
              <w:t xml:space="preserve">participating in </w:t>
            </w:r>
            <w:r>
              <w:t>IDX as reported annually by IATA</w:t>
            </w:r>
          </w:p>
        </w:tc>
        <w:tc>
          <w:tcPr>
            <w:tcW w:w="6" w:type="pct"/>
            <w:tcBorders>
              <w:top w:val="single" w:sz="2" w:space="0" w:color="000000"/>
              <w:left w:val="single" w:sz="2" w:space="0" w:color="000000"/>
              <w:bottom w:val="single" w:sz="2" w:space="0" w:color="000000"/>
              <w:right w:val="single" w:sz="2" w:space="0" w:color="000000"/>
            </w:tcBorders>
          </w:tcPr>
          <w:p w14:paraId="2B6F816D" w14:textId="77777777" w:rsidR="00996DA7" w:rsidRPr="00C136D3" w:rsidRDefault="00996DA7" w:rsidP="00996DA7">
            <w:pPr>
              <w:pStyle w:val="Standardtext"/>
            </w:pPr>
          </w:p>
        </w:tc>
      </w:tr>
      <w:tr w:rsidR="00996DA7" w:rsidRPr="007C20E1" w14:paraId="7356431A" w14:textId="77777777" w:rsidTr="00992EA9">
        <w:tc>
          <w:tcPr>
            <w:tcW w:w="1661" w:type="pct"/>
            <w:vMerge/>
            <w:tcBorders>
              <w:left w:val="single" w:sz="2" w:space="0" w:color="000000"/>
              <w:right w:val="single" w:sz="2" w:space="0" w:color="000000"/>
            </w:tcBorders>
            <w:tcMar>
              <w:top w:w="120" w:type="dxa"/>
              <w:left w:w="120" w:type="dxa"/>
              <w:bottom w:w="120" w:type="dxa"/>
              <w:right w:w="120" w:type="dxa"/>
            </w:tcMar>
          </w:tcPr>
          <w:p w14:paraId="74FC7C0C" w14:textId="77777777" w:rsidR="00996DA7" w:rsidRPr="00340A1F" w:rsidRDefault="00996DA7" w:rsidP="00996DA7">
            <w:pPr>
              <w:pStyle w:val="Standardtext"/>
            </w:pPr>
          </w:p>
        </w:tc>
        <w:tc>
          <w:tcPr>
            <w:tcW w:w="899" w:type="pct"/>
            <w:tcBorders>
              <w:top w:val="single" w:sz="2" w:space="0" w:color="000000"/>
              <w:left w:val="single" w:sz="2" w:space="0" w:color="000000"/>
              <w:bottom w:val="single" w:sz="2" w:space="0" w:color="000000"/>
              <w:right w:val="single" w:sz="2" w:space="0" w:color="000000"/>
            </w:tcBorders>
          </w:tcPr>
          <w:p w14:paraId="152FCDC6" w14:textId="22D34CB2" w:rsidR="00996DA7" w:rsidRPr="00C136D3" w:rsidRDefault="00996DA7" w:rsidP="00996DA7">
            <w:pPr>
              <w:pStyle w:val="Standardtext"/>
            </w:pPr>
            <w:r w:rsidRPr="007E02E6">
              <w:t>EUR.SPI.</w:t>
            </w:r>
            <w:r>
              <w:t>6</w:t>
            </w:r>
            <w:r w:rsidRPr="007E02E6">
              <w:t>.</w:t>
            </w:r>
            <w:r>
              <w:t>1</w:t>
            </w:r>
            <w:r w:rsidRPr="007E02E6">
              <w:t>.0</w:t>
            </w:r>
            <w:r>
              <w:t>4</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hideMark/>
          </w:tcPr>
          <w:p w14:paraId="65F5F0AE" w14:textId="77777777" w:rsidR="00996DA7" w:rsidRPr="00C136D3" w:rsidRDefault="00996DA7" w:rsidP="00996DA7">
            <w:pPr>
              <w:pStyle w:val="Standardtext"/>
            </w:pPr>
            <w:r w:rsidRPr="00C136D3">
              <w:t xml:space="preserve">Number of service providers </w:t>
            </w:r>
            <w:r>
              <w:t xml:space="preserve">from EUR States </w:t>
            </w:r>
            <w:r w:rsidRPr="00C136D3">
              <w:t xml:space="preserve">participating in the </w:t>
            </w:r>
            <w:r>
              <w:t>APEX as reported annually by ACI Europe</w:t>
            </w:r>
          </w:p>
        </w:tc>
        <w:tc>
          <w:tcPr>
            <w:tcW w:w="6" w:type="pct"/>
            <w:tcBorders>
              <w:top w:val="single" w:sz="2" w:space="0" w:color="000000"/>
              <w:left w:val="single" w:sz="2" w:space="0" w:color="000000"/>
              <w:bottom w:val="single" w:sz="2" w:space="0" w:color="000000"/>
              <w:right w:val="single" w:sz="2" w:space="0" w:color="000000"/>
            </w:tcBorders>
          </w:tcPr>
          <w:p w14:paraId="271F358E" w14:textId="77777777" w:rsidR="00996DA7" w:rsidRPr="00C136D3" w:rsidRDefault="00996DA7" w:rsidP="00996DA7">
            <w:pPr>
              <w:pStyle w:val="Standardtext"/>
            </w:pPr>
          </w:p>
        </w:tc>
      </w:tr>
      <w:tr w:rsidR="00996DA7" w:rsidRPr="007C20E1" w14:paraId="70B9E118" w14:textId="77777777" w:rsidTr="00992EA9">
        <w:tc>
          <w:tcPr>
            <w:tcW w:w="1661" w:type="pct"/>
            <w:vMerge/>
            <w:tcBorders>
              <w:left w:val="single" w:sz="2" w:space="0" w:color="000000"/>
              <w:bottom w:val="single" w:sz="2" w:space="0" w:color="000000"/>
              <w:right w:val="single" w:sz="2" w:space="0" w:color="000000"/>
            </w:tcBorders>
            <w:tcMar>
              <w:top w:w="120" w:type="dxa"/>
              <w:left w:w="120" w:type="dxa"/>
              <w:bottom w:w="120" w:type="dxa"/>
              <w:right w:w="120" w:type="dxa"/>
            </w:tcMar>
          </w:tcPr>
          <w:p w14:paraId="4F593754" w14:textId="77777777" w:rsidR="00996DA7" w:rsidRPr="00340A1F" w:rsidRDefault="00996DA7" w:rsidP="00996DA7">
            <w:pPr>
              <w:pStyle w:val="Standardtext"/>
            </w:pPr>
          </w:p>
        </w:tc>
        <w:tc>
          <w:tcPr>
            <w:tcW w:w="899" w:type="pct"/>
            <w:tcBorders>
              <w:top w:val="single" w:sz="2" w:space="0" w:color="000000"/>
              <w:left w:val="single" w:sz="2" w:space="0" w:color="000000"/>
              <w:bottom w:val="single" w:sz="2" w:space="0" w:color="000000"/>
              <w:right w:val="single" w:sz="2" w:space="0" w:color="000000"/>
            </w:tcBorders>
          </w:tcPr>
          <w:p w14:paraId="2CAC6729" w14:textId="48B94D72" w:rsidR="00996DA7" w:rsidRPr="007E02E6" w:rsidRDefault="00996DA7" w:rsidP="00996DA7">
            <w:pPr>
              <w:pStyle w:val="Standardtext"/>
            </w:pPr>
            <w:r w:rsidRPr="007E02E6">
              <w:t>EUR.SPI.</w:t>
            </w:r>
            <w:r>
              <w:t>6</w:t>
            </w:r>
            <w:r w:rsidRPr="007E02E6">
              <w:t>.</w:t>
            </w:r>
            <w:r>
              <w:t>1</w:t>
            </w:r>
            <w:r w:rsidRPr="007E02E6">
              <w:t>.0</w:t>
            </w:r>
            <w:r>
              <w:t>5</w:t>
            </w:r>
          </w:p>
        </w:tc>
        <w:tc>
          <w:tcPr>
            <w:tcW w:w="2435" w:type="pct"/>
            <w:tcBorders>
              <w:top w:val="single" w:sz="2" w:space="0" w:color="000000"/>
              <w:left w:val="single" w:sz="2" w:space="0" w:color="000000"/>
              <w:bottom w:val="single" w:sz="2" w:space="0" w:color="000000"/>
              <w:right w:val="single" w:sz="2" w:space="0" w:color="000000"/>
            </w:tcBorders>
            <w:tcMar>
              <w:top w:w="120" w:type="dxa"/>
              <w:left w:w="120" w:type="dxa"/>
              <w:bottom w:w="120" w:type="dxa"/>
              <w:right w:w="120" w:type="dxa"/>
            </w:tcMar>
          </w:tcPr>
          <w:p w14:paraId="6CFE5AF8" w14:textId="5E4E7317" w:rsidR="00996DA7" w:rsidRPr="00C136D3" w:rsidRDefault="00996DA7" w:rsidP="00996DA7">
            <w:pPr>
              <w:pStyle w:val="Standardtext"/>
            </w:pPr>
            <w:r w:rsidRPr="00C136D3">
              <w:t xml:space="preserve">Number of service providers </w:t>
            </w:r>
            <w:r>
              <w:t xml:space="preserve">from EUR States </w:t>
            </w:r>
            <w:r w:rsidRPr="00C136D3">
              <w:t xml:space="preserve">participating in the </w:t>
            </w:r>
            <w:r w:rsidRPr="000A0B0E">
              <w:t>CANSO</w:t>
            </w:r>
            <w:r w:rsidR="005D2F2D">
              <w:t>/EUROCONTROL</w:t>
            </w:r>
            <w:r w:rsidRPr="000A0B0E">
              <w:t xml:space="preserve"> Standard of Excellence </w:t>
            </w:r>
            <w:r>
              <w:t>as reported annually by CANSO Europe</w:t>
            </w:r>
          </w:p>
        </w:tc>
        <w:tc>
          <w:tcPr>
            <w:tcW w:w="6" w:type="pct"/>
            <w:tcBorders>
              <w:top w:val="single" w:sz="2" w:space="0" w:color="000000"/>
              <w:left w:val="single" w:sz="2" w:space="0" w:color="000000"/>
              <w:bottom w:val="single" w:sz="2" w:space="0" w:color="000000"/>
              <w:right w:val="single" w:sz="2" w:space="0" w:color="000000"/>
            </w:tcBorders>
          </w:tcPr>
          <w:p w14:paraId="74F4DC71" w14:textId="77777777" w:rsidR="00996DA7" w:rsidRPr="00C136D3" w:rsidRDefault="00996DA7" w:rsidP="00996DA7">
            <w:pPr>
              <w:pStyle w:val="Standardtext"/>
            </w:pPr>
          </w:p>
        </w:tc>
      </w:tr>
    </w:tbl>
    <w:p w14:paraId="148B9EDD" w14:textId="77777777" w:rsidR="00992EA9" w:rsidRDefault="00992EA9" w:rsidP="00992EA9">
      <w:pPr>
        <w:pStyle w:val="Standardtext"/>
      </w:pPr>
    </w:p>
    <w:p w14:paraId="16F69526" w14:textId="694444E6" w:rsidR="00992EA9" w:rsidRPr="004B6C9B" w:rsidRDefault="00992EA9" w:rsidP="00992EA9">
      <w:pPr>
        <w:pStyle w:val="Standardtext"/>
      </w:pPr>
      <w:r>
        <w:t xml:space="preserve">Volume II of EUR </w:t>
      </w:r>
      <w:r w:rsidRPr="004B6C9B">
        <w:t xml:space="preserve">RASP presents the </w:t>
      </w:r>
      <w:r>
        <w:t xml:space="preserve">safety actions </w:t>
      </w:r>
      <w:r w:rsidRPr="004B6C9B">
        <w:t xml:space="preserve">that were developed based on the organizational challenges (ORG) and operational safety risks (OPS) roadmaps, as presented in the ICAO Global Aviation Safety Roadmap (Doc 10161), </w:t>
      </w:r>
      <w:r>
        <w:t xml:space="preserve">safety actions presented in Volume II of EPAS </w:t>
      </w:r>
      <w:r w:rsidRPr="004B6C9B">
        <w:t xml:space="preserve">as well as region-specific issues identified by </w:t>
      </w:r>
      <w:r>
        <w:t>the RESG RASP WG</w:t>
      </w:r>
      <w:r w:rsidRPr="004B6C9B">
        <w:t xml:space="preserve">. This plan is developed and maintained by </w:t>
      </w:r>
      <w:r>
        <w:t>RESG RASP WG</w:t>
      </w:r>
      <w:r w:rsidRPr="004B6C9B">
        <w:t xml:space="preserve">, in coordination with key aviation stakeholders and is updated at least every </w:t>
      </w:r>
      <w:r>
        <w:t xml:space="preserve">3 </w:t>
      </w:r>
      <w:r w:rsidRPr="004B6C9B">
        <w:t xml:space="preserve">years. </w:t>
      </w:r>
    </w:p>
    <w:p w14:paraId="6E87D9FA" w14:textId="77777777" w:rsidR="00992EA9" w:rsidRDefault="00992EA9" w:rsidP="00992EA9">
      <w:pPr>
        <w:pStyle w:val="Standardtext"/>
        <w:rPr>
          <w:lang w:val="en-GB"/>
        </w:rPr>
      </w:pPr>
      <w:r w:rsidRPr="004B6C9B">
        <w:rPr>
          <w:lang w:val="en-GB"/>
        </w:rPr>
        <w:t xml:space="preserve">The </w:t>
      </w:r>
      <w:r>
        <w:rPr>
          <w:lang w:val="en-GB"/>
        </w:rPr>
        <w:t xml:space="preserve">safety actions </w:t>
      </w:r>
      <w:r w:rsidRPr="004B6C9B">
        <w:rPr>
          <w:lang w:val="en-GB"/>
        </w:rPr>
        <w:t xml:space="preserve">in this plan are implemented through the working arrangements of the </w:t>
      </w:r>
      <w:r>
        <w:rPr>
          <w:lang w:val="en-GB"/>
        </w:rPr>
        <w:t>ICAO European Aviation System Planning Group (EASPG) and its safety subgroups</w:t>
      </w:r>
      <w:r w:rsidRPr="004B6C9B">
        <w:rPr>
          <w:lang w:val="en-GB"/>
        </w:rPr>
        <w:t xml:space="preserve">, as well as the existing safety oversight capabilities and service providers’ safety management systems (SMS) at the individual States’ level. </w:t>
      </w:r>
      <w:r>
        <w:rPr>
          <w:lang w:val="en-GB"/>
        </w:rPr>
        <w:t>Safety actions</w:t>
      </w:r>
      <w:r w:rsidRPr="004B6C9B">
        <w:rPr>
          <w:lang w:val="en-GB"/>
        </w:rPr>
        <w:t xml:space="preserve"> derived from the ICAO Global Aviation Safety Roadmap (Doc 10161) </w:t>
      </w:r>
      <w:r>
        <w:rPr>
          <w:lang w:val="en-GB"/>
        </w:rPr>
        <w:t xml:space="preserve">and EPAS Volume II </w:t>
      </w:r>
      <w:r w:rsidRPr="004B6C9B">
        <w:rPr>
          <w:lang w:val="en-GB"/>
        </w:rPr>
        <w:t xml:space="preserve">were identified to achieve the regional safety goals presented in the </w:t>
      </w:r>
      <w:r>
        <w:rPr>
          <w:lang w:val="en-GB"/>
        </w:rPr>
        <w:t xml:space="preserve">EUR </w:t>
      </w:r>
      <w:r w:rsidRPr="004B6C9B">
        <w:rPr>
          <w:lang w:val="en-GB"/>
        </w:rPr>
        <w:t xml:space="preserve">RASP. </w:t>
      </w:r>
    </w:p>
    <w:p w14:paraId="6CC22EF3" w14:textId="77777777" w:rsidR="00992EA9" w:rsidRPr="00311F8F" w:rsidRDefault="00992EA9" w:rsidP="00992EA9">
      <w:pPr>
        <w:pStyle w:val="Standardtext"/>
        <w:rPr>
          <w:lang w:val="en-GB"/>
        </w:rPr>
      </w:pPr>
      <w:r w:rsidRPr="004B6C9B">
        <w:t xml:space="preserve">The </w:t>
      </w:r>
      <w:r>
        <w:t xml:space="preserve">EUR </w:t>
      </w:r>
      <w:r w:rsidRPr="004B6C9B">
        <w:t xml:space="preserve">RASP also addresses emerging issues, which include concepts of operations, technologies, public policies, business models or ideas that might impact safety in the future, for which insufficient data exists to complete a typical data-driven analysis. Due to the lack of data, emerging issues cannot automatically be considered as operational safety risks. It is important that remain vigilant on emerging issues to identify hazards and safety deficiencies, collect relevant data and proactively develop mitigations to address any associated risks. </w:t>
      </w:r>
    </w:p>
    <w:p w14:paraId="7090061A" w14:textId="77777777" w:rsidR="00992EA9" w:rsidRPr="004B6C9B" w:rsidRDefault="00992EA9" w:rsidP="00992EA9">
      <w:pPr>
        <w:pStyle w:val="Standardtext"/>
      </w:pPr>
      <w:r w:rsidRPr="004B6C9B">
        <w:t xml:space="preserve">Many of the technologies and innovations emerging in the aviation industry bear significant potential to further improve the level of safety, e.g. by improving the collection and analysis of operational data, better condition monitoring of aircraft for the purpose of preventive maintenance, improved accessibility and better quality of meteorological information, etc. </w:t>
      </w:r>
    </w:p>
    <w:p w14:paraId="60470DF4" w14:textId="77777777" w:rsidR="00992EA9" w:rsidRPr="004B6C9B" w:rsidRDefault="00992EA9" w:rsidP="00992EA9">
      <w:pPr>
        <w:pStyle w:val="Standardtext"/>
      </w:pPr>
      <w:r w:rsidRPr="004B6C9B">
        <w:t xml:space="preserve">Digitalisation and automation are rapidly increasing in aviation systems. While this has resulted overall in significantly improved safety, the trend towards increasing automation requires a renewed safety focus on </w:t>
      </w:r>
      <w:r w:rsidRPr="004B6C9B">
        <w:lastRenderedPageBreak/>
        <w:t xml:space="preserve">the interactions between humans and automation. The next generation of automation will be using Artificial Intelligence (AI). This domain, no longer the province of science fiction, could well be the next ‘game-changer’ for aviation. </w:t>
      </w:r>
      <w:proofErr w:type="gramStart"/>
      <w:r w:rsidRPr="004B6C9B">
        <w:t>In the near future</w:t>
      </w:r>
      <w:proofErr w:type="gramEnd"/>
      <w:r w:rsidRPr="004B6C9B">
        <w:t>, new EUR RASP actions may be required to maximise related safety benefits, while mitigating any threats induced by the implementation of these new technologies.</w:t>
      </w:r>
    </w:p>
    <w:p w14:paraId="32550813" w14:textId="77777777" w:rsidR="000D1929" w:rsidRDefault="000D1929">
      <w:pPr>
        <w:pStyle w:val="Standardtext"/>
        <w:numPr>
          <w:ilvl w:val="0"/>
          <w:numId w:val="40"/>
        </w:numPr>
      </w:pPr>
      <w:r w:rsidRPr="00311F8F">
        <w:t>Artificial intelligence (AI)</w:t>
      </w:r>
    </w:p>
    <w:p w14:paraId="03237F06" w14:textId="7A09E40A" w:rsidR="000D1929" w:rsidRPr="004B6C9B" w:rsidRDefault="000D1929" w:rsidP="000D1929">
      <w:pPr>
        <w:pStyle w:val="Standardtext"/>
      </w:pPr>
      <w:r w:rsidRPr="004B6C9B">
        <w:t>AI, and more specifically the Machine Learning (ML) field of AI, bears enormous potential for developing applications that would not have been possible with the development techniques that were used so far. AI will affect most aviation domains, not only in terms of products and services provided by the industry, but also in relation to the rise of new business models that need to be accounted for in certification, rulemaking, an</w:t>
      </w:r>
      <w:r w:rsidR="00D562A9">
        <w:t>d</w:t>
      </w:r>
      <w:r w:rsidRPr="004B6C9B">
        <w:t xml:space="preserve"> oversight. This may in turn affect the competency framework of CAA staff. </w:t>
      </w:r>
    </w:p>
    <w:p w14:paraId="03CCAC8D" w14:textId="77777777" w:rsidR="000D1929" w:rsidRPr="004B6C9B" w:rsidRDefault="000D1929" w:rsidP="000D1929">
      <w:pPr>
        <w:pStyle w:val="Standardtext"/>
      </w:pPr>
      <w:r w:rsidRPr="004B6C9B">
        <w:t>By essence AI is multidisciplinary and will require a coordinated risk management approach, to ensure safety within the total aviation system.</w:t>
      </w:r>
    </w:p>
    <w:p w14:paraId="5E044682" w14:textId="77777777" w:rsidR="000D1929" w:rsidRDefault="000D1929">
      <w:pPr>
        <w:pStyle w:val="Standardtext"/>
        <w:numPr>
          <w:ilvl w:val="0"/>
          <w:numId w:val="40"/>
        </w:numPr>
      </w:pPr>
      <w:r w:rsidRPr="00311F8F">
        <w:t>Ensure the safe operation of UAS (drones)</w:t>
      </w:r>
    </w:p>
    <w:p w14:paraId="6511DD47" w14:textId="77777777" w:rsidR="000D1929" w:rsidRPr="0061591E" w:rsidRDefault="000D1929" w:rsidP="0061591E">
      <w:pPr>
        <w:pStyle w:val="Standardtext"/>
      </w:pPr>
      <w:r w:rsidRPr="004B6C9B">
        <w:t xml:space="preserve">There is a need to create an adequate regulatory framework that will enable safe operations of UAS and the </w:t>
      </w:r>
      <w:r w:rsidRPr="0061591E">
        <w:t xml:space="preserve">integration of these new airspace users into </w:t>
      </w:r>
      <w:proofErr w:type="gramStart"/>
      <w:r w:rsidRPr="0061591E">
        <w:t>the EUR</w:t>
      </w:r>
      <w:proofErr w:type="gramEnd"/>
      <w:r w:rsidRPr="0061591E">
        <w:t xml:space="preserve"> airspace.</w:t>
      </w:r>
    </w:p>
    <w:p w14:paraId="7962EB92" w14:textId="77777777" w:rsidR="000D1929" w:rsidRPr="0061591E" w:rsidRDefault="000D1929" w:rsidP="0061591E">
      <w:pPr>
        <w:pStyle w:val="Standardtext"/>
      </w:pPr>
      <w:r w:rsidRPr="0061591E">
        <w:t>As technology advances, consistent requirements and expectations in an already crowded airspace will help manufacturers to design for all conditions and make it easier for operators to comply with requirements.</w:t>
      </w:r>
    </w:p>
    <w:p w14:paraId="62F426C4" w14:textId="77777777" w:rsidR="000D1929" w:rsidRPr="0061591E" w:rsidRDefault="000D1929" w:rsidP="0061591E">
      <w:pPr>
        <w:pStyle w:val="Standardtext"/>
      </w:pPr>
      <w:r w:rsidRPr="0061591E">
        <w:t xml:space="preserve">Moreover, as the number of UAS operations increases, there is a need to establish unmanned traffic management (UTM) systems (named ‘U-space’ in Europe). There has been a huge development of U-space over the last </w:t>
      </w:r>
      <w:proofErr w:type="gramStart"/>
      <w:r w:rsidRPr="0061591E">
        <w:t>years</w:t>
      </w:r>
      <w:proofErr w:type="gramEnd"/>
      <w:r w:rsidRPr="0061591E">
        <w:t xml:space="preserve"> and it is expected that this will develop even faster in the years to come.  </w:t>
      </w:r>
    </w:p>
    <w:p w14:paraId="4B80083E" w14:textId="77777777" w:rsidR="000D1929" w:rsidRPr="0061591E" w:rsidRDefault="000D1929" w:rsidP="0061591E">
      <w:pPr>
        <w:pStyle w:val="Standardtext"/>
      </w:pPr>
      <w:r w:rsidRPr="0061591E">
        <w:t xml:space="preserve">The number of drones within the EUR region has multiplied over the last years. Available data also shows the increase of drones coming closer to manned aviation (both aeroplanes and helicopters), thereby confirming the need to mitigate the associated risk. </w:t>
      </w:r>
    </w:p>
    <w:p w14:paraId="09C9009A" w14:textId="03513CC8" w:rsidR="000D1929" w:rsidRPr="0061591E" w:rsidRDefault="000D1929" w:rsidP="0061591E">
      <w:pPr>
        <w:pStyle w:val="Standardtext"/>
      </w:pPr>
      <w:r w:rsidRPr="0061591E">
        <w:t xml:space="preserve">The analysis of the events </w:t>
      </w:r>
      <w:r w:rsidR="00555AA3">
        <w:t>at Oslo airport and Copenhagen</w:t>
      </w:r>
      <w:r w:rsidRPr="0061591E">
        <w:t xml:space="preserve"> </w:t>
      </w:r>
      <w:r w:rsidR="00555AA3">
        <w:t xml:space="preserve">airport in September 2025 </w:t>
      </w:r>
      <w:r w:rsidRPr="0061591E">
        <w:t>ha</w:t>
      </w:r>
      <w:r w:rsidR="00555AA3">
        <w:t>ve</w:t>
      </w:r>
      <w:r w:rsidRPr="0061591E">
        <w:t xml:space="preserve"> clearly identified the need to support aerodrome operators, aircraft operators and ATS providers to be better prepared to manage the presence of unauthorised drones around aerodromes, while ensuring the business continuity. This implies among others provision of guidance on roles and responsibilities between the different actors and on the various counter drone mitigations ranging from prevention, surveillance, detection and disruption of unauthorised drones. </w:t>
      </w:r>
    </w:p>
    <w:p w14:paraId="7F28D1C2" w14:textId="09C67EA9" w:rsidR="000D1929" w:rsidRPr="0061591E" w:rsidRDefault="000D1929" w:rsidP="0061591E">
      <w:pPr>
        <w:pStyle w:val="Standardtext"/>
      </w:pPr>
      <w:proofErr w:type="gramStart"/>
      <w:r w:rsidRPr="0061591E">
        <w:t>In order to</w:t>
      </w:r>
      <w:proofErr w:type="gramEnd"/>
      <w:r w:rsidRPr="0061591E">
        <w:t xml:space="preserve"> avoid a diversity of national measures, EASA had proposed to act as the European coordinator of an action plan containing five objectives and to collaborate with the affected stakeholders, namely the Member States (including CAAs and Law Enforcement Authorities), aerodrome operators, aircraft operators, ANSPs, EUROCONTROL and the EC. This led to the publication of the EASA Counter-UAS Action Plan.</w:t>
      </w:r>
    </w:p>
    <w:p w14:paraId="5C03FA0F" w14:textId="77777777" w:rsidR="000D1929" w:rsidRDefault="000D1929">
      <w:pPr>
        <w:pStyle w:val="Standardtext"/>
        <w:numPr>
          <w:ilvl w:val="0"/>
          <w:numId w:val="40"/>
        </w:numPr>
      </w:pPr>
      <w:r w:rsidRPr="00311F8F">
        <w:t>New operating concepts and business models</w:t>
      </w:r>
    </w:p>
    <w:p w14:paraId="184A07F1" w14:textId="77777777" w:rsidR="00555AA3" w:rsidRDefault="000D1929" w:rsidP="0061591E">
      <w:pPr>
        <w:pStyle w:val="Standardtext"/>
      </w:pPr>
      <w:r w:rsidRPr="004B6C9B">
        <w:t>Some new business models</w:t>
      </w:r>
      <w:r w:rsidRPr="00555AA3">
        <w:rPr>
          <w:vertAlign w:val="superscript"/>
        </w:rPr>
        <w:footnoteReference w:id="23"/>
      </w:r>
      <w:r w:rsidRPr="004B6C9B">
        <w:t xml:space="preserve"> will challenge the way authorities regulate and oversee the aviation system. Until now, </w:t>
      </w:r>
      <w:proofErr w:type="gramStart"/>
      <w:r w:rsidRPr="004B6C9B">
        <w:t>the air</w:t>
      </w:r>
      <w:proofErr w:type="gramEnd"/>
      <w:r w:rsidRPr="004B6C9B">
        <w:t xml:space="preserve"> travel over urban areas has been limited to very special operations, such as police operations or helicopter emergency medical services (HEMS). New aviation partners are seeking new </w:t>
      </w:r>
      <w:r w:rsidRPr="004B6C9B">
        <w:lastRenderedPageBreak/>
        <w:t xml:space="preserve">business models to provide more services to citizens, ranging from parcel delivery by air within the cities to flying air taxis. These new business models and operations need to be performed in a safe and secure manner to maintain the confidence that citizens have in the air transport system. </w:t>
      </w:r>
    </w:p>
    <w:p w14:paraId="17EA2B5E" w14:textId="77777777" w:rsidR="00C83953" w:rsidRDefault="00C83953" w:rsidP="00F97F6B">
      <w:pPr>
        <w:pStyle w:val="Standardtext"/>
        <w:numPr>
          <w:ilvl w:val="0"/>
          <w:numId w:val="40"/>
        </w:numPr>
      </w:pPr>
      <w:r w:rsidRPr="00136844">
        <w:t>Electric and hybrid propulsion, vertical take-off and landing (VTOL) aircraft</w:t>
      </w:r>
      <w:r>
        <w:t xml:space="preserve"> and </w:t>
      </w:r>
      <w:r w:rsidRPr="0044492F">
        <w:t>hydrogen-powered technologies</w:t>
      </w:r>
    </w:p>
    <w:p w14:paraId="62ECBCB1" w14:textId="77777777" w:rsidR="000D1929" w:rsidRPr="004B6C9B" w:rsidRDefault="000D1929" w:rsidP="0061591E">
      <w:pPr>
        <w:pStyle w:val="Standardtext"/>
      </w:pPr>
      <w:r w:rsidRPr="004B6C9B">
        <w:t xml:space="preserve">Innovation in any industry is a key factor influencing its competitiveness, growth and employment potential. With this strategic priority in </w:t>
      </w:r>
      <w:proofErr w:type="gramStart"/>
      <w:r w:rsidRPr="004B6C9B">
        <w:t>mind, and</w:t>
      </w:r>
      <w:proofErr w:type="gramEnd"/>
      <w:r w:rsidRPr="004B6C9B">
        <w:t xml:space="preserve"> looking at the increasing number of new aircraft manufacturers and suppliers working on aircraft using electric propulsion (and increasingly electric systems), it becomes apparent that there are very strong prospects as well as demand, from industry and governments, to have hybrid propulsion and eventually fully electric aircraft. The use of electric and hybrid propulsion systems has the potential of significantly reducing aviation environmental footprint. However, </w:t>
      </w:r>
      <w:proofErr w:type="gramStart"/>
      <w:r w:rsidRPr="004B6C9B">
        <w:t>in order to</w:t>
      </w:r>
      <w:proofErr w:type="gramEnd"/>
      <w:r w:rsidRPr="004B6C9B">
        <w:t xml:space="preserve"> ensure that this objective is met, the full life cycle of the product needs to be </w:t>
      </w:r>
      <w:proofErr w:type="gramStart"/>
      <w:r w:rsidRPr="004B6C9B">
        <w:t>taken into account</w:t>
      </w:r>
      <w:proofErr w:type="gramEnd"/>
      <w:r w:rsidRPr="004B6C9B">
        <w:t xml:space="preserve"> as well as the energy mix used. </w:t>
      </w:r>
    </w:p>
    <w:p w14:paraId="2F0FAACB" w14:textId="77777777" w:rsidR="000D1929" w:rsidRPr="004B6C9B" w:rsidRDefault="000D1929" w:rsidP="0061591E">
      <w:pPr>
        <w:pStyle w:val="Standardtext"/>
      </w:pPr>
      <w:r w:rsidRPr="004B6C9B">
        <w:t>To encourage the safe integration of new technological advancements in the wider electrical aviation sector overall, flexibility in the approach on all types of concepts, variations and design types will be enhanced.</w:t>
      </w:r>
    </w:p>
    <w:p w14:paraId="0717F515" w14:textId="77777777" w:rsidR="000D1929" w:rsidRDefault="000D1929" w:rsidP="0061591E">
      <w:pPr>
        <w:pStyle w:val="Standardtext"/>
      </w:pPr>
      <w:r w:rsidRPr="004B6C9B">
        <w:t xml:space="preserve">To allow for the projects to thrive, </w:t>
      </w:r>
      <w:proofErr w:type="gramStart"/>
      <w:r w:rsidRPr="004B6C9B">
        <w:t>a number of</w:t>
      </w:r>
      <w:proofErr w:type="gramEnd"/>
      <w:r w:rsidRPr="004B6C9B">
        <w:t xml:space="preserve"> complex issues need to be tackled from a regulatory perspective, starting with creating the required certification standards to adapting operational and</w:t>
      </w:r>
      <w:r w:rsidRPr="00136844">
        <w:t xml:space="preserve"> licensing rules, as well as ATM/ANS and aerodrome rules.</w:t>
      </w:r>
    </w:p>
    <w:p w14:paraId="564614A7" w14:textId="77777777" w:rsidR="000D1929" w:rsidRPr="004B6C9B" w:rsidRDefault="000D1929" w:rsidP="0061591E">
      <w:pPr>
        <w:pStyle w:val="Standardtext"/>
      </w:pPr>
      <w:r w:rsidRPr="004B6C9B">
        <w:t>Transport modes are increasingly considering the use of electric and hybrid propulsion and aviation is not an exception. In the domain of civil aviation, electric and hybrid propulsion started off in light General Aviation/leisure flying aircraft and the lower end of unmanned aircraft systems. The latest technological developments (e.g. hybrid technology, fuel cell, distributed propulsion and lift, urban air mobility solutions with electric propulsion VTOL aircraft, aeroplanes with a high number of motors and propellers/fans, high voltage levels) are promising to make electrification more and more attractive and feasible in aviation, hence an increasing number of projects developed by the industry for a potentially huge market. While most of those projects currently address smaller aircraft and UAS, some projections foresee that regional aircraft (around 40 seats) could fly fully electrically in the range between 2030 and 2040</w:t>
      </w:r>
      <w:r w:rsidRPr="00555AA3">
        <w:rPr>
          <w:vertAlign w:val="superscript"/>
        </w:rPr>
        <w:footnoteReference w:id="24"/>
      </w:r>
      <w:r w:rsidRPr="004B6C9B">
        <w:t>.</w:t>
      </w:r>
    </w:p>
    <w:p w14:paraId="59932F72" w14:textId="77777777" w:rsidR="000D1929" w:rsidRPr="004B6C9B" w:rsidRDefault="000D1929" w:rsidP="0061591E">
      <w:pPr>
        <w:pStyle w:val="Standardtext"/>
      </w:pPr>
      <w:r w:rsidRPr="004B6C9B">
        <w:t xml:space="preserve">The use of electric and hybrid propulsion systems has the potential to significantly reduce the aviation environmental footprint. However, </w:t>
      </w:r>
      <w:proofErr w:type="gramStart"/>
      <w:r w:rsidRPr="004B6C9B">
        <w:t>in order to</w:t>
      </w:r>
      <w:proofErr w:type="gramEnd"/>
      <w:r w:rsidRPr="004B6C9B">
        <w:t xml:space="preserve"> ensure that this objective is met, the full life cycle of the products needs to be </w:t>
      </w:r>
      <w:proofErr w:type="gramStart"/>
      <w:r w:rsidRPr="004B6C9B">
        <w:t>taken into account</w:t>
      </w:r>
      <w:proofErr w:type="gramEnd"/>
      <w:r w:rsidRPr="004B6C9B">
        <w:t xml:space="preserve"> as well as the energy mix used. In addition to their disposal the safe storage of batteries on ground will also need to be addressed. </w:t>
      </w:r>
    </w:p>
    <w:p w14:paraId="7E900E03" w14:textId="77777777" w:rsidR="000D1929" w:rsidRPr="004B6C9B" w:rsidRDefault="000D1929" w:rsidP="0061591E">
      <w:pPr>
        <w:pStyle w:val="Standardtext"/>
      </w:pPr>
      <w:r w:rsidRPr="004B6C9B">
        <w:t xml:space="preserve">To encourage the safe integration of new technological advancements in the wider electrical aviation sector overall, flexibility in the approach on all types of concepts, variations and design types should be enhanced.  To allow such projects to thrive and enable their safe integration into the aviation system, </w:t>
      </w:r>
      <w:proofErr w:type="gramStart"/>
      <w:r w:rsidRPr="004B6C9B">
        <w:t>a number of</w:t>
      </w:r>
      <w:proofErr w:type="gramEnd"/>
      <w:r w:rsidRPr="004B6C9B">
        <w:t xml:space="preserve"> complex issues need to be tackled from a regulatory perspective, given that most of the aviation requirements are still referring to the use of hydrocarbon-based fuel and traditional power plant categories (piston engine, turboprop, turbofan and turbo shaft). This concerns not only aircraft design requirements (addressing </w:t>
      </w:r>
      <w:proofErr w:type="gramStart"/>
      <w:r w:rsidRPr="004B6C9B">
        <w:t>in particular the</w:t>
      </w:r>
      <w:proofErr w:type="gramEnd"/>
      <w:r w:rsidRPr="004B6C9B">
        <w:t xml:space="preserve"> hazards created by the carriage of high-voltage systems </w:t>
      </w:r>
      <w:proofErr w:type="gramStart"/>
      <w:r w:rsidRPr="004B6C9B">
        <w:t>on-board</w:t>
      </w:r>
      <w:proofErr w:type="gramEnd"/>
      <w:r w:rsidRPr="004B6C9B">
        <w:t xml:space="preserve"> the aircraft), but also operational, flight crew licensing, maintenance, air navigation and aerodrome requirements.  </w:t>
      </w:r>
    </w:p>
    <w:p w14:paraId="777694FA" w14:textId="77777777" w:rsidR="000D1929" w:rsidRPr="004B6C9B" w:rsidRDefault="000D1929" w:rsidP="0061591E">
      <w:pPr>
        <w:pStyle w:val="Standardtext"/>
      </w:pPr>
      <w:r w:rsidRPr="004B6C9B">
        <w:lastRenderedPageBreak/>
        <w:t>An overarching objective should be to apply and ensure a level of safety of electrical and hybrid propulsion products, at least equivalent to that achieved for the traditional combustion-based propulsive systems.</w:t>
      </w:r>
    </w:p>
    <w:p w14:paraId="1B3E3FD2" w14:textId="77777777" w:rsidR="000D1929" w:rsidRPr="004B6C9B" w:rsidRDefault="000D1929" w:rsidP="0061591E">
      <w:pPr>
        <w:pStyle w:val="Standardtext"/>
      </w:pPr>
      <w:proofErr w:type="gramStart"/>
      <w:r w:rsidRPr="004B6C9B">
        <w:t>In order to</w:t>
      </w:r>
      <w:proofErr w:type="gramEnd"/>
      <w:r w:rsidRPr="004B6C9B">
        <w:t xml:space="preserve"> meet the environmental targets for climate neutrality by 2050, there is an increased focus by the industry on the potential use of hydrogen as an energy carrier in aviation that could then either be used by fuel cells to produce electricity or burnt in a combustor in a similar way to kerosene today. The properties of hydrogen raise </w:t>
      </w:r>
      <w:proofErr w:type="gramStart"/>
      <w:r w:rsidRPr="004B6C9B">
        <w:t>a number of</w:t>
      </w:r>
      <w:proofErr w:type="gramEnd"/>
      <w:r w:rsidRPr="004B6C9B">
        <w:t xml:space="preserve"> challenges from storage and distribution right through to conversion into the final energy used to propel the aircraft.</w:t>
      </w:r>
    </w:p>
    <w:p w14:paraId="645BAB75" w14:textId="77777777" w:rsidR="000D1929" w:rsidRPr="00976CD0" w:rsidRDefault="000D1929" w:rsidP="00F97F6B">
      <w:pPr>
        <w:pStyle w:val="Standardtext"/>
        <w:numPr>
          <w:ilvl w:val="0"/>
          <w:numId w:val="40"/>
        </w:numPr>
      </w:pPr>
      <w:r w:rsidRPr="00976CD0">
        <w:t>Prepare for safe higher airspace operations</w:t>
      </w:r>
    </w:p>
    <w:p w14:paraId="2BCD8996" w14:textId="77777777" w:rsidR="000D1929" w:rsidRPr="004B6C9B" w:rsidRDefault="000D1929" w:rsidP="0061591E">
      <w:pPr>
        <w:pStyle w:val="Standardtext"/>
      </w:pPr>
      <w:r w:rsidRPr="004B6C9B">
        <w:t>Several suborbital operations were performed in the US already in 2021 and 2022 and their operators are considering future flights in Europe, facilitated by the development of spaceports in some European states. In addition, the Joint Communication on Space Traffic Management (STM)69 highlights the close interaction between space and air traffic, during the launch and re-entry phases of space flights, and calls for a coordinated approach. </w:t>
      </w:r>
    </w:p>
    <w:p w14:paraId="0724106B" w14:textId="77777777" w:rsidR="000D1929" w:rsidRPr="004B6C9B" w:rsidRDefault="000D1929" w:rsidP="0061591E">
      <w:pPr>
        <w:pStyle w:val="Standardtext"/>
      </w:pPr>
      <w:r w:rsidRPr="004B6C9B">
        <w:t xml:space="preserve">Operations in the higher airspace will be either manned or unmanned and may pose safety risks when transiting through the current air operations in the airspace below FL 660 or when cruising above that altitude. They may also </w:t>
      </w:r>
      <w:proofErr w:type="gramStart"/>
      <w:r w:rsidRPr="004B6C9B">
        <w:t>entail</w:t>
      </w:r>
      <w:proofErr w:type="gramEnd"/>
      <w:r w:rsidRPr="004B6C9B">
        <w:t xml:space="preserve"> a negative environmental impact, notably in terms of noise or emissions. To provide the necessary protection, regulations need to be adapted or new ones adopted, among others, in the field of airworthiness, operations, personnel, ATM/ANS, aerodromes/spaceports and environment.</w:t>
      </w:r>
    </w:p>
    <w:p w14:paraId="0D9692F2" w14:textId="77777777" w:rsidR="000D1929" w:rsidRDefault="000D1929" w:rsidP="00F97F6B">
      <w:pPr>
        <w:pStyle w:val="Standardtext"/>
        <w:numPr>
          <w:ilvl w:val="0"/>
          <w:numId w:val="40"/>
        </w:numPr>
      </w:pPr>
      <w:r w:rsidRPr="00896C26">
        <w:t>Environment</w:t>
      </w:r>
    </w:p>
    <w:p w14:paraId="1BB94A57" w14:textId="77777777" w:rsidR="0061591E" w:rsidRDefault="000D1929" w:rsidP="0061591E">
      <w:pPr>
        <w:pStyle w:val="Standardtext"/>
        <w:sectPr w:rsidR="0061591E" w:rsidSect="000D1929">
          <w:headerReference w:type="default" r:id="rId29"/>
          <w:pgSz w:w="11906" w:h="16838" w:code="9"/>
          <w:pgMar w:top="1134" w:right="1134" w:bottom="902" w:left="1134" w:header="709" w:footer="493" w:gutter="0"/>
          <w:cols w:space="708"/>
          <w:docGrid w:linePitch="360"/>
        </w:sectPr>
      </w:pPr>
      <w:r w:rsidRPr="004B6C9B">
        <w:t xml:space="preserve">Environmental protection and the sustainability of the aviation sector </w:t>
      </w:r>
      <w:proofErr w:type="gramStart"/>
      <w:r w:rsidRPr="004B6C9B">
        <w:t>has</w:t>
      </w:r>
      <w:proofErr w:type="gramEnd"/>
      <w:r w:rsidRPr="004B6C9B">
        <w:t xml:space="preserve"> been growing in importance over the years. The aviation industry </w:t>
      </w:r>
      <w:proofErr w:type="gramStart"/>
      <w:r w:rsidRPr="004B6C9B">
        <w:t>has itself</w:t>
      </w:r>
      <w:proofErr w:type="gramEnd"/>
      <w:r w:rsidRPr="004B6C9B">
        <w:t xml:space="preserve"> committed to achieving net-zero carbon emissions by 2050, aligning with global climate goals. This ambitious target requires a multifaceted approach, including the widespread adoption of sustainable aviation fuels (SAF), the development of new technologies like electric and hydrogen-powered aircraft, and the implementation of operational efficiencies and carbon offsetting strategies.</w:t>
      </w:r>
    </w:p>
    <w:p w14:paraId="771731DC" w14:textId="53FFA531" w:rsidR="0061591E" w:rsidRDefault="0061591E" w:rsidP="0061591E">
      <w:pPr>
        <w:pStyle w:val="Heading1"/>
      </w:pPr>
      <w:bookmarkStart w:id="183" w:name="_Ref202948946"/>
      <w:bookmarkStart w:id="184" w:name="_Toc207256565"/>
      <w:bookmarkStart w:id="185" w:name="_Toc213138003"/>
      <w:r w:rsidRPr="00746C59">
        <w:lastRenderedPageBreak/>
        <w:t>M</w:t>
      </w:r>
      <w:r>
        <w:t xml:space="preserve">onitoring implementation of the </w:t>
      </w:r>
      <w:bookmarkEnd w:id="183"/>
      <w:bookmarkEnd w:id="184"/>
      <w:r>
        <w:t>EUR RASP</w:t>
      </w:r>
      <w:bookmarkEnd w:id="185"/>
    </w:p>
    <w:p w14:paraId="3E0A5BBA" w14:textId="4C2C0D82" w:rsidR="0061591E" w:rsidRPr="004A07BC" w:rsidRDefault="0061591E" w:rsidP="0061591E">
      <w:pPr>
        <w:pStyle w:val="Standardtext"/>
      </w:pPr>
      <w:r>
        <w:t xml:space="preserve">RESG RASP WG </w:t>
      </w:r>
      <w:r w:rsidRPr="004A07BC">
        <w:t xml:space="preserve">will continuously monitor the implementation of the </w:t>
      </w:r>
      <w:r>
        <w:t>safety actions</w:t>
      </w:r>
      <w:r w:rsidRPr="004A07BC">
        <w:t xml:space="preserve"> listed in the </w:t>
      </w:r>
      <w:r>
        <w:t xml:space="preserve">EUR </w:t>
      </w:r>
      <w:r w:rsidRPr="004A07BC">
        <w:t xml:space="preserve">RASP and </w:t>
      </w:r>
      <w:r w:rsidR="00B2401C">
        <w:t xml:space="preserve">will </w:t>
      </w:r>
      <w:r w:rsidRPr="004A07BC">
        <w:t>measure safety performance of the regional civil aviation system to ensure the intended results are achieved, using the mechanisms presented in the appendix to this plan.</w:t>
      </w:r>
    </w:p>
    <w:p w14:paraId="45E9FF80" w14:textId="1DDD4C70" w:rsidR="003756D5" w:rsidRDefault="0061591E" w:rsidP="0061591E">
      <w:pPr>
        <w:pStyle w:val="Standardtext"/>
      </w:pPr>
      <w:r w:rsidRPr="004A07BC">
        <w:t xml:space="preserve">In addition to the above, </w:t>
      </w:r>
      <w:r w:rsidR="00154639">
        <w:t xml:space="preserve">RESG </w:t>
      </w:r>
      <w:r w:rsidRPr="004A07BC">
        <w:t xml:space="preserve">will review the </w:t>
      </w:r>
      <w:r>
        <w:t xml:space="preserve">EUR </w:t>
      </w:r>
      <w:r w:rsidRPr="004A07BC">
        <w:t xml:space="preserve">RASP every </w:t>
      </w:r>
      <w:r>
        <w:t xml:space="preserve">3 </w:t>
      </w:r>
      <w:r w:rsidRPr="004A07BC">
        <w:t xml:space="preserve">years or earlier, if required, </w:t>
      </w:r>
      <w:r w:rsidRPr="004A07BC">
        <w:br/>
        <w:t xml:space="preserve">to keep the identified operational safety risks, organizational challenges and selected </w:t>
      </w:r>
      <w:r w:rsidR="00B2401C">
        <w:t>safety issues</w:t>
      </w:r>
      <w:r w:rsidR="00B2401C" w:rsidRPr="004A07BC">
        <w:t xml:space="preserve"> </w:t>
      </w:r>
      <w:r w:rsidRPr="004A07BC">
        <w:t xml:space="preserve">updated and relevant. </w:t>
      </w:r>
      <w:r w:rsidR="003756D5" w:rsidRPr="004A07BC">
        <w:t xml:space="preserve">Through close monitoring of the </w:t>
      </w:r>
      <w:r w:rsidR="003756D5">
        <w:t>safety actions</w:t>
      </w:r>
      <w:r w:rsidR="003756D5" w:rsidRPr="004A07BC">
        <w:t xml:space="preserve">, </w:t>
      </w:r>
      <w:r w:rsidR="003756D5">
        <w:t xml:space="preserve">RESG </w:t>
      </w:r>
      <w:r w:rsidR="003756D5" w:rsidRPr="004A07BC">
        <w:t xml:space="preserve">will </w:t>
      </w:r>
      <w:r w:rsidR="00EE4E49" w:rsidRPr="004A07BC">
        <w:t>adjust</w:t>
      </w:r>
      <w:r w:rsidR="003756D5" w:rsidRPr="004A07BC">
        <w:t xml:space="preserve"> the </w:t>
      </w:r>
      <w:r w:rsidR="00EE4E49">
        <w:t xml:space="preserve">EUR </w:t>
      </w:r>
      <w:r w:rsidR="003756D5" w:rsidRPr="004A07BC">
        <w:t xml:space="preserve">RASP and its </w:t>
      </w:r>
      <w:r w:rsidR="00A86C09">
        <w:t>safety actions</w:t>
      </w:r>
      <w:r w:rsidR="003756D5" w:rsidRPr="004A07BC">
        <w:t xml:space="preserve">, if needed, and update the </w:t>
      </w:r>
      <w:r w:rsidR="001A4C2B">
        <w:t xml:space="preserve">EUR </w:t>
      </w:r>
      <w:r w:rsidR="003756D5" w:rsidRPr="004A07BC">
        <w:t>RASP accordingly.</w:t>
      </w:r>
      <w:r w:rsidR="00A204CE">
        <w:t xml:space="preserve"> </w:t>
      </w:r>
      <w:r w:rsidR="00A204CE" w:rsidRPr="004A07BC">
        <w:t>A</w:t>
      </w:r>
      <w:r w:rsidR="00A1586F">
        <w:t>n</w:t>
      </w:r>
      <w:r w:rsidR="00A204CE" w:rsidRPr="004A07BC">
        <w:t xml:space="preserve"> </w:t>
      </w:r>
      <w:r w:rsidR="00A204CE">
        <w:t xml:space="preserve">EUR RASP annual implementation report </w:t>
      </w:r>
      <w:r w:rsidR="00A204CE" w:rsidRPr="004A07BC">
        <w:t xml:space="preserve">will be </w:t>
      </w:r>
      <w:r w:rsidR="00A204CE">
        <w:t>presented</w:t>
      </w:r>
      <w:r w:rsidR="00B2401C">
        <w:t xml:space="preserve"> for endorsement</w:t>
      </w:r>
      <w:r w:rsidR="00A204CE">
        <w:t xml:space="preserve"> to the EASPG and </w:t>
      </w:r>
      <w:r w:rsidR="00B2401C">
        <w:t xml:space="preserve">will be </w:t>
      </w:r>
      <w:r w:rsidR="00A204CE" w:rsidRPr="004A07BC">
        <w:t xml:space="preserve">published </w:t>
      </w:r>
      <w:r w:rsidR="00B2401C">
        <w:t xml:space="preserve">on ICAO’s website </w:t>
      </w:r>
      <w:r w:rsidR="00A204CE" w:rsidRPr="004A07BC">
        <w:t xml:space="preserve">to provide stakeholders with relevant up-to-date information on the progress made in the implementation status of the </w:t>
      </w:r>
      <w:r w:rsidR="00A204CE">
        <w:t>safety actions.</w:t>
      </w:r>
    </w:p>
    <w:p w14:paraId="435B0514" w14:textId="7FABAA46" w:rsidR="0061591E" w:rsidRPr="004A07BC" w:rsidRDefault="003756D5" w:rsidP="0061591E">
      <w:pPr>
        <w:pStyle w:val="Standardtext"/>
      </w:pPr>
      <w:r>
        <w:t xml:space="preserve">RESG </w:t>
      </w:r>
      <w:r w:rsidR="0061591E" w:rsidRPr="004A07BC">
        <w:t xml:space="preserve">will periodically review the </w:t>
      </w:r>
      <w:r w:rsidR="00DD6E67">
        <w:t xml:space="preserve">effectiveness of </w:t>
      </w:r>
      <w:r w:rsidR="004273E1">
        <w:t xml:space="preserve">safety actions </w:t>
      </w:r>
      <w:r w:rsidR="0061591E" w:rsidRPr="004A07BC">
        <w:t xml:space="preserve">listed in the </w:t>
      </w:r>
      <w:r w:rsidR="00A1586F">
        <w:t xml:space="preserve">EUR </w:t>
      </w:r>
      <w:r w:rsidR="0061591E" w:rsidRPr="004A07BC">
        <w:t>RASP to ensure the achievement of regional safety goals</w:t>
      </w:r>
      <w:r>
        <w:t xml:space="preserve"> and present the key findings to the EASPG</w:t>
      </w:r>
      <w:r w:rsidR="00CC55AE">
        <w:t>.</w:t>
      </w:r>
    </w:p>
    <w:p w14:paraId="184235BA" w14:textId="32C6B229" w:rsidR="0061591E" w:rsidRPr="004A07BC" w:rsidRDefault="0061591E" w:rsidP="0061591E">
      <w:pPr>
        <w:pStyle w:val="Standardtext"/>
      </w:pPr>
      <w:r w:rsidRPr="004A07BC">
        <w:t xml:space="preserve">In addition, </w:t>
      </w:r>
      <w:r w:rsidR="00A204CE">
        <w:t xml:space="preserve">ICAO EUR and NAT Regional Office </w:t>
      </w:r>
      <w:r w:rsidRPr="004A07BC">
        <w:t xml:space="preserve">will use the indicators listed in Section </w:t>
      </w:r>
      <w:r>
        <w:t>5</w:t>
      </w:r>
      <w:r w:rsidRPr="004A07BC">
        <w:t xml:space="preserve"> of this plan to measure safety performance of the regional civil aviation system and </w:t>
      </w:r>
      <w:r w:rsidR="00B2401C">
        <w:t xml:space="preserve">to </w:t>
      </w:r>
      <w:r w:rsidRPr="004A07BC">
        <w:t>monitor each regional safety target. A</w:t>
      </w:r>
      <w:r w:rsidR="00A1586F">
        <w:t>n</w:t>
      </w:r>
      <w:r w:rsidRPr="004A07BC">
        <w:t xml:space="preserve"> </w:t>
      </w:r>
      <w:r w:rsidR="00A204CE">
        <w:t>EUR Annual S</w:t>
      </w:r>
      <w:r w:rsidRPr="004A07BC">
        <w:t xml:space="preserve">afety </w:t>
      </w:r>
      <w:r w:rsidR="00A204CE">
        <w:t>R</w:t>
      </w:r>
      <w:r w:rsidRPr="004A07BC">
        <w:t xml:space="preserve">eport will be </w:t>
      </w:r>
      <w:r w:rsidR="00A204CE">
        <w:t xml:space="preserve">presented </w:t>
      </w:r>
      <w:r w:rsidR="00B2401C">
        <w:t xml:space="preserve">for endorsement </w:t>
      </w:r>
      <w:r w:rsidR="00A204CE">
        <w:t xml:space="preserve">to EASPG and </w:t>
      </w:r>
      <w:r w:rsidR="00B2401C">
        <w:t xml:space="preserve">will be </w:t>
      </w:r>
      <w:r w:rsidRPr="004A07BC">
        <w:t xml:space="preserve">published </w:t>
      </w:r>
      <w:r w:rsidR="00B2401C">
        <w:t xml:space="preserve">on ICAO’s website </w:t>
      </w:r>
      <w:r w:rsidRPr="004A07BC">
        <w:t>to provide stakeholders with relevant up-to-date information on the progress made in achieving the regional safety goals.</w:t>
      </w:r>
    </w:p>
    <w:p w14:paraId="7966C340" w14:textId="3378B9D1" w:rsidR="0061591E" w:rsidRPr="004A07BC" w:rsidRDefault="0061591E" w:rsidP="0061591E">
      <w:pPr>
        <w:pStyle w:val="Standardtext"/>
      </w:pPr>
      <w:r w:rsidRPr="004A07BC">
        <w:t xml:space="preserve">If </w:t>
      </w:r>
      <w:r w:rsidR="001E0769">
        <w:t xml:space="preserve">RESG </w:t>
      </w:r>
      <w:r w:rsidRPr="004A07BC">
        <w:t xml:space="preserve">identifies critical operational safety risks, reasonable measures will be taken to mitigate them as soon as practicable, possibly leading to an earlier revision of the </w:t>
      </w:r>
      <w:r w:rsidR="00A1586F">
        <w:t xml:space="preserve">EUR </w:t>
      </w:r>
      <w:r w:rsidRPr="004A07BC">
        <w:t>RASP.</w:t>
      </w:r>
    </w:p>
    <w:p w14:paraId="3BF391AF" w14:textId="4F582308" w:rsidR="0061591E" w:rsidRPr="004A07BC" w:rsidRDefault="0061591E" w:rsidP="0061591E">
      <w:pPr>
        <w:pStyle w:val="Standardtext"/>
      </w:pPr>
      <w:r w:rsidRPr="004A07BC">
        <w:t xml:space="preserve">Any questions regarding the </w:t>
      </w:r>
      <w:r w:rsidR="00A918C4">
        <w:t xml:space="preserve">EUR </w:t>
      </w:r>
      <w:r w:rsidRPr="004A07BC">
        <w:t xml:space="preserve">RASP and its </w:t>
      </w:r>
      <w:r w:rsidR="00A777A3">
        <w:t>safety actions</w:t>
      </w:r>
      <w:r w:rsidRPr="004A07BC">
        <w:t>, and further requests for information, may be addressed to the following:</w:t>
      </w:r>
    </w:p>
    <w:p w14:paraId="57C97B6C" w14:textId="71A62158" w:rsidR="0061591E" w:rsidRPr="004A07BC" w:rsidRDefault="001E0769" w:rsidP="001E0769">
      <w:pPr>
        <w:pStyle w:val="Standardtext"/>
        <w:jc w:val="center"/>
        <w:rPr>
          <w:shd w:val="pct15" w:color="auto" w:fill="FFFFFF"/>
        </w:rPr>
      </w:pPr>
      <w:r>
        <w:t>ICAO European and North Atlantic Office</w:t>
      </w:r>
    </w:p>
    <w:p w14:paraId="0476B96B" w14:textId="3725F9D8" w:rsidR="001E0769" w:rsidRPr="001E7329" w:rsidRDefault="001E0769" w:rsidP="001E0769">
      <w:pPr>
        <w:pStyle w:val="Standardtext"/>
        <w:jc w:val="center"/>
      </w:pPr>
      <w:r w:rsidRPr="001E7329">
        <w:t xml:space="preserve">E-mail: </w:t>
      </w:r>
      <w:hyperlink r:id="rId30" w:history="1">
        <w:r w:rsidRPr="001E7329">
          <w:rPr>
            <w:rStyle w:val="Hyperlink"/>
          </w:rPr>
          <w:t>eurrasp@icao.int</w:t>
        </w:r>
      </w:hyperlink>
    </w:p>
    <w:p w14:paraId="48ABE9F3" w14:textId="46EEA969" w:rsidR="0061591E" w:rsidRPr="001E7329" w:rsidRDefault="001E0769" w:rsidP="001E0769">
      <w:pPr>
        <w:pStyle w:val="Standardtext"/>
        <w:jc w:val="center"/>
      </w:pPr>
      <w:r w:rsidRPr="001E7329">
        <w:t xml:space="preserve">Website: </w:t>
      </w:r>
      <w:hyperlink r:id="rId31" w:history="1">
        <w:r w:rsidRPr="001E7329">
          <w:rPr>
            <w:rStyle w:val="Hyperlink"/>
          </w:rPr>
          <w:t>https://www.icao.int/EURNAT/EUR-RASP</w:t>
        </w:r>
      </w:hyperlink>
    </w:p>
    <w:p w14:paraId="063AD869" w14:textId="77777777" w:rsidR="0061591E" w:rsidRPr="001E7329" w:rsidRDefault="0061591E" w:rsidP="0061591E">
      <w:pPr>
        <w:rPr>
          <w:lang w:val="en-US"/>
        </w:rPr>
      </w:pPr>
    </w:p>
    <w:p w14:paraId="5D763FC5" w14:textId="77777777" w:rsidR="000D1929" w:rsidRPr="001E7329" w:rsidRDefault="000D1929" w:rsidP="0061591E">
      <w:pPr>
        <w:pStyle w:val="Standardtext"/>
      </w:pPr>
    </w:p>
    <w:p w14:paraId="648FF89F" w14:textId="77777777" w:rsidR="0061591E" w:rsidRPr="001E7329" w:rsidRDefault="0061591E" w:rsidP="0061591E">
      <w:pPr>
        <w:pStyle w:val="Standardtext"/>
        <w:sectPr w:rsidR="0061591E" w:rsidRPr="001E7329" w:rsidSect="000D1929">
          <w:headerReference w:type="default" r:id="rId32"/>
          <w:pgSz w:w="11906" w:h="16838" w:code="9"/>
          <w:pgMar w:top="1134" w:right="1134" w:bottom="902" w:left="1134" w:header="709" w:footer="493" w:gutter="0"/>
          <w:cols w:space="708"/>
          <w:docGrid w:linePitch="360"/>
        </w:sectPr>
      </w:pPr>
    </w:p>
    <w:p w14:paraId="4334B233" w14:textId="675945FA" w:rsidR="003248BE" w:rsidRPr="003248BE" w:rsidRDefault="001E0769" w:rsidP="001E0769">
      <w:pPr>
        <w:pStyle w:val="Heading1"/>
        <w:numPr>
          <w:ilvl w:val="0"/>
          <w:numId w:val="0"/>
        </w:numPr>
        <w:ind w:left="432" w:hanging="432"/>
      </w:pPr>
      <w:bookmarkStart w:id="186" w:name="_Toc213138004"/>
      <w:r>
        <w:lastRenderedPageBreak/>
        <w:t xml:space="preserve">Appendix 1: </w:t>
      </w:r>
      <w:r w:rsidR="003248BE" w:rsidRPr="003248BE">
        <w:t>How individual safety actions are presented</w:t>
      </w:r>
      <w:bookmarkEnd w:id="186"/>
    </w:p>
    <w:p w14:paraId="24188B08" w14:textId="09859858" w:rsidR="004400CC" w:rsidRPr="00E13951" w:rsidRDefault="004400CC" w:rsidP="004400CC">
      <w:pPr>
        <w:pStyle w:val="Standardtext"/>
        <w:rPr>
          <w:rFonts w:asciiTheme="minorHAnsi" w:hAnsiTheme="minorHAnsi" w:cstheme="minorHAnsi"/>
        </w:rPr>
      </w:pPr>
      <w:r w:rsidRPr="00E13951">
        <w:rPr>
          <w:rFonts w:asciiTheme="minorHAnsi" w:hAnsiTheme="minorHAnsi" w:cstheme="minorHAnsi"/>
        </w:rPr>
        <w:t xml:space="preserve">There are </w:t>
      </w:r>
      <w:r w:rsidR="008352D7">
        <w:rPr>
          <w:rFonts w:asciiTheme="minorHAnsi" w:hAnsiTheme="minorHAnsi" w:cstheme="minorHAnsi"/>
        </w:rPr>
        <w:t xml:space="preserve">three </w:t>
      </w:r>
      <w:r w:rsidRPr="00E13951">
        <w:rPr>
          <w:rFonts w:asciiTheme="minorHAnsi" w:hAnsiTheme="minorHAnsi" w:cstheme="minorHAnsi"/>
        </w:rPr>
        <w:t>types of actions included in the EUR RASP:</w:t>
      </w:r>
    </w:p>
    <w:p w14:paraId="5C9A6ADA" w14:textId="77777777" w:rsidR="004400CC" w:rsidRPr="00E13951" w:rsidRDefault="004400CC">
      <w:pPr>
        <w:numPr>
          <w:ilvl w:val="0"/>
          <w:numId w:val="16"/>
        </w:numPr>
        <w:tabs>
          <w:tab w:val="left" w:pos="567"/>
        </w:tabs>
        <w:spacing w:after="60"/>
        <w:ind w:left="567" w:hanging="567"/>
        <w:jc w:val="both"/>
        <w:rPr>
          <w:rFonts w:asciiTheme="minorHAnsi" w:hAnsiTheme="minorHAnsi" w:cstheme="minorHAnsi"/>
          <w:sz w:val="22"/>
          <w:szCs w:val="22"/>
        </w:rPr>
      </w:pPr>
      <w:r w:rsidRPr="00E13951">
        <w:rPr>
          <w:rFonts w:asciiTheme="minorHAnsi" w:hAnsiTheme="minorHAnsi" w:cstheme="minorHAnsi"/>
          <w:b/>
          <w:sz w:val="22"/>
          <w:szCs w:val="22"/>
        </w:rPr>
        <w:t>Rulemaking tasks (RMTs)</w:t>
      </w:r>
    </w:p>
    <w:p w14:paraId="2B0208D6" w14:textId="56227F58" w:rsidR="004400CC" w:rsidRDefault="004400CC" w:rsidP="004400CC">
      <w:pPr>
        <w:tabs>
          <w:tab w:val="left" w:pos="567"/>
        </w:tabs>
        <w:spacing w:after="120" w:line="276" w:lineRule="auto"/>
        <w:ind w:left="567"/>
        <w:jc w:val="both"/>
        <w:rPr>
          <w:rFonts w:asciiTheme="minorHAnsi" w:hAnsiTheme="minorHAnsi" w:cstheme="minorHAnsi"/>
          <w:sz w:val="22"/>
          <w:szCs w:val="22"/>
        </w:rPr>
      </w:pPr>
      <w:r w:rsidRPr="00E13951">
        <w:rPr>
          <w:rFonts w:asciiTheme="minorHAnsi" w:hAnsiTheme="minorHAnsi" w:cstheme="minorHAnsi"/>
          <w:b/>
          <w:sz w:val="22"/>
          <w:szCs w:val="22"/>
        </w:rPr>
        <w:t>RMTs</w:t>
      </w:r>
      <w:r w:rsidRPr="00E13951">
        <w:rPr>
          <w:rFonts w:asciiTheme="minorHAnsi" w:hAnsiTheme="minorHAnsi" w:cstheme="minorHAnsi"/>
          <w:sz w:val="22"/>
          <w:szCs w:val="22"/>
        </w:rPr>
        <w:t xml:space="preserve"> are intended to lead to new or amended regulatory material, however the related work is usually not limited to </w:t>
      </w:r>
      <w:r w:rsidR="00781A37" w:rsidRPr="00E13951">
        <w:rPr>
          <w:rFonts w:asciiTheme="minorHAnsi" w:hAnsiTheme="minorHAnsi" w:cstheme="minorHAnsi"/>
          <w:sz w:val="22"/>
          <w:szCs w:val="22"/>
        </w:rPr>
        <w:t xml:space="preserve">drafting </w:t>
      </w:r>
      <w:r w:rsidRPr="00E13951">
        <w:rPr>
          <w:rFonts w:asciiTheme="minorHAnsi" w:hAnsiTheme="minorHAnsi" w:cstheme="minorHAnsi"/>
          <w:sz w:val="22"/>
          <w:szCs w:val="22"/>
        </w:rPr>
        <w:t xml:space="preserve">rules. Depending on the scope and issues addressed, a rulemaking project may also include implementation support activities, such as the organisation of conferences, workshops, roadshows, the creation of frequently asked questions (FAQs), </w:t>
      </w:r>
      <w:r w:rsidR="00D06B8C" w:rsidRPr="00E13951">
        <w:rPr>
          <w:rFonts w:asciiTheme="minorHAnsi" w:hAnsiTheme="minorHAnsi" w:cstheme="minorHAnsi"/>
          <w:sz w:val="22"/>
          <w:szCs w:val="22"/>
        </w:rPr>
        <w:t>etc.</w:t>
      </w:r>
    </w:p>
    <w:p w14:paraId="584544A5" w14:textId="2898FBAA" w:rsidR="00CB4064" w:rsidRPr="00CB4064" w:rsidRDefault="00CB4064" w:rsidP="00CB4064">
      <w:pPr>
        <w:tabs>
          <w:tab w:val="left" w:pos="567"/>
        </w:tabs>
        <w:spacing w:after="120" w:line="276" w:lineRule="auto"/>
        <w:ind w:left="567"/>
        <w:jc w:val="both"/>
        <w:rPr>
          <w:rFonts w:asciiTheme="minorHAnsi" w:hAnsiTheme="minorHAnsi" w:cstheme="minorHAnsi"/>
          <w:sz w:val="22"/>
          <w:szCs w:val="22"/>
        </w:rPr>
      </w:pPr>
      <w:r w:rsidRPr="00CB4064">
        <w:rPr>
          <w:rFonts w:asciiTheme="minorHAnsi" w:hAnsiTheme="minorHAnsi" w:cstheme="minorHAnsi"/>
          <w:sz w:val="22"/>
          <w:szCs w:val="22"/>
        </w:rPr>
        <w:t xml:space="preserve">For consistency, any action requiring amendment of primary aviation legislation and specific operating regulations (CE-1 and CE-2) should be presented as a separate RMT action. </w:t>
      </w:r>
    </w:p>
    <w:p w14:paraId="0819B2D7" w14:textId="77777777" w:rsidR="004400CC" w:rsidRPr="00E13951" w:rsidRDefault="004400CC" w:rsidP="004400CC">
      <w:pPr>
        <w:tabs>
          <w:tab w:val="left" w:pos="567"/>
        </w:tabs>
        <w:spacing w:after="120" w:line="276" w:lineRule="auto"/>
        <w:ind w:left="567"/>
        <w:jc w:val="both"/>
        <w:rPr>
          <w:rFonts w:asciiTheme="minorHAnsi" w:hAnsiTheme="minorHAnsi" w:cstheme="minorHAnsi"/>
          <w:sz w:val="22"/>
          <w:szCs w:val="22"/>
        </w:rPr>
      </w:pPr>
      <w:r w:rsidRPr="00E13951">
        <w:rPr>
          <w:rFonts w:asciiTheme="minorHAnsi" w:hAnsiTheme="minorHAnsi" w:cstheme="minorHAnsi"/>
          <w:sz w:val="22"/>
          <w:szCs w:val="22"/>
        </w:rPr>
        <w:t>An RMT may also be supported by a dedicated safety promotion task (SPT).</w:t>
      </w:r>
    </w:p>
    <w:p w14:paraId="5CEEA551" w14:textId="2D50D608" w:rsidR="004400CC" w:rsidRDefault="004400CC" w:rsidP="004400CC">
      <w:pPr>
        <w:tabs>
          <w:tab w:val="left" w:pos="567"/>
        </w:tabs>
        <w:spacing w:after="120" w:line="276" w:lineRule="auto"/>
        <w:ind w:left="567"/>
        <w:jc w:val="both"/>
        <w:rPr>
          <w:rFonts w:asciiTheme="minorHAnsi" w:hAnsiTheme="minorHAnsi" w:cstheme="minorHAnsi"/>
          <w:sz w:val="22"/>
          <w:szCs w:val="22"/>
        </w:rPr>
      </w:pPr>
      <w:r w:rsidRPr="00E13951">
        <w:rPr>
          <w:rFonts w:asciiTheme="minorHAnsi" w:hAnsiTheme="minorHAnsi" w:cstheme="minorHAnsi"/>
          <w:sz w:val="22"/>
          <w:szCs w:val="22"/>
        </w:rPr>
        <w:t xml:space="preserve">For EASA Member States actions </w:t>
      </w:r>
      <w:r w:rsidR="002B4CE5">
        <w:rPr>
          <w:rFonts w:asciiTheme="minorHAnsi" w:hAnsiTheme="minorHAnsi" w:cstheme="minorHAnsi"/>
          <w:sz w:val="22"/>
          <w:szCs w:val="22"/>
        </w:rPr>
        <w:t xml:space="preserve">that has a corresponding RMT task in EPAS </w:t>
      </w:r>
      <w:r w:rsidRPr="00E13951">
        <w:rPr>
          <w:rFonts w:asciiTheme="minorHAnsi" w:hAnsiTheme="minorHAnsi" w:cstheme="minorHAnsi"/>
          <w:sz w:val="22"/>
          <w:szCs w:val="22"/>
        </w:rPr>
        <w:t xml:space="preserve">are owned by EASA. For other EUR States, </w:t>
      </w:r>
      <w:r w:rsidR="00D06B8C" w:rsidRPr="00E13951">
        <w:rPr>
          <w:rFonts w:asciiTheme="minorHAnsi" w:hAnsiTheme="minorHAnsi" w:cstheme="minorHAnsi"/>
          <w:sz w:val="22"/>
          <w:szCs w:val="22"/>
        </w:rPr>
        <w:t>all</w:t>
      </w:r>
      <w:r w:rsidRPr="00E13951">
        <w:rPr>
          <w:rFonts w:asciiTheme="minorHAnsi" w:hAnsiTheme="minorHAnsi" w:cstheme="minorHAnsi"/>
          <w:sz w:val="22"/>
          <w:szCs w:val="22"/>
        </w:rPr>
        <w:t xml:space="preserve"> such actions are owned by individual States.</w:t>
      </w:r>
    </w:p>
    <w:p w14:paraId="7C920772" w14:textId="6B307856" w:rsidR="00F97F6B" w:rsidRPr="00E13951" w:rsidRDefault="00F97F6B" w:rsidP="00F97F6B">
      <w:pPr>
        <w:numPr>
          <w:ilvl w:val="0"/>
          <w:numId w:val="16"/>
        </w:numPr>
        <w:tabs>
          <w:tab w:val="left" w:pos="567"/>
        </w:tabs>
        <w:spacing w:after="60"/>
        <w:ind w:left="567" w:hanging="567"/>
        <w:jc w:val="both"/>
        <w:rPr>
          <w:rFonts w:asciiTheme="minorHAnsi" w:hAnsiTheme="minorHAnsi" w:cstheme="minorHAnsi"/>
          <w:sz w:val="22"/>
          <w:szCs w:val="22"/>
        </w:rPr>
      </w:pPr>
      <w:r>
        <w:rPr>
          <w:rFonts w:asciiTheme="minorHAnsi" w:hAnsiTheme="minorHAnsi" w:cstheme="minorHAnsi"/>
          <w:b/>
          <w:sz w:val="22"/>
          <w:szCs w:val="22"/>
        </w:rPr>
        <w:t xml:space="preserve">State’s Safety Management </w:t>
      </w:r>
      <w:r w:rsidRPr="00E13951">
        <w:rPr>
          <w:rFonts w:asciiTheme="minorHAnsi" w:hAnsiTheme="minorHAnsi" w:cstheme="minorHAnsi"/>
          <w:b/>
          <w:sz w:val="22"/>
          <w:szCs w:val="22"/>
        </w:rPr>
        <w:t>tasks (</w:t>
      </w:r>
      <w:r>
        <w:rPr>
          <w:rFonts w:asciiTheme="minorHAnsi" w:hAnsiTheme="minorHAnsi" w:cstheme="minorHAnsi"/>
          <w:b/>
          <w:sz w:val="22"/>
          <w:szCs w:val="22"/>
        </w:rPr>
        <w:t>S</w:t>
      </w:r>
      <w:r w:rsidRPr="00E13951">
        <w:rPr>
          <w:rFonts w:asciiTheme="minorHAnsi" w:hAnsiTheme="minorHAnsi" w:cstheme="minorHAnsi"/>
          <w:b/>
          <w:sz w:val="22"/>
          <w:szCs w:val="22"/>
        </w:rPr>
        <w:t>MTs)</w:t>
      </w:r>
    </w:p>
    <w:p w14:paraId="2F23C835" w14:textId="72EEAEA6" w:rsidR="00CB4064" w:rsidRDefault="00CB4064" w:rsidP="004400CC">
      <w:pPr>
        <w:tabs>
          <w:tab w:val="left" w:pos="567"/>
        </w:tabs>
        <w:spacing w:after="120" w:line="276" w:lineRule="auto"/>
        <w:ind w:left="567"/>
        <w:jc w:val="both"/>
        <w:rPr>
          <w:rFonts w:asciiTheme="minorHAnsi" w:hAnsiTheme="minorHAnsi" w:cstheme="minorHAnsi"/>
          <w:sz w:val="22"/>
          <w:szCs w:val="22"/>
        </w:rPr>
      </w:pPr>
      <w:r w:rsidRPr="00CB4064">
        <w:rPr>
          <w:rFonts w:asciiTheme="minorHAnsi" w:hAnsiTheme="minorHAnsi" w:cstheme="minorHAnsi"/>
          <w:b/>
          <w:bCs/>
          <w:sz w:val="22"/>
          <w:szCs w:val="22"/>
        </w:rPr>
        <w:t xml:space="preserve">SMTs </w:t>
      </w:r>
      <w:r>
        <w:rPr>
          <w:rFonts w:asciiTheme="minorHAnsi" w:hAnsiTheme="minorHAnsi" w:cstheme="minorHAnsi"/>
          <w:sz w:val="22"/>
          <w:szCs w:val="22"/>
        </w:rPr>
        <w:t xml:space="preserve">are intended </w:t>
      </w:r>
      <w:r w:rsidRPr="00F97F6B">
        <w:rPr>
          <w:rFonts w:asciiTheme="minorHAnsi" w:hAnsiTheme="minorHAnsi" w:cstheme="minorHAnsi"/>
          <w:sz w:val="22"/>
          <w:szCs w:val="22"/>
        </w:rPr>
        <w:t>to strengthen safety management capacities of the states, to include state’s safety oversight and accident and serious incident investigation, addressing primarily CE-3, CE-4 and CE-5, and other state safety risk management capacities (refer to Chapter 3.3 of Annex 19).</w:t>
      </w:r>
    </w:p>
    <w:p w14:paraId="5DB462E6" w14:textId="3A159411" w:rsidR="00CB4064" w:rsidRDefault="00CB4064" w:rsidP="004400CC">
      <w:pPr>
        <w:tabs>
          <w:tab w:val="left" w:pos="567"/>
        </w:tabs>
        <w:spacing w:after="120" w:line="276" w:lineRule="auto"/>
        <w:ind w:left="567"/>
        <w:jc w:val="both"/>
        <w:rPr>
          <w:rFonts w:asciiTheme="minorHAnsi" w:hAnsiTheme="minorHAnsi" w:cstheme="minorHAnsi"/>
          <w:sz w:val="22"/>
          <w:szCs w:val="22"/>
        </w:rPr>
      </w:pPr>
      <w:r w:rsidRPr="00E13951">
        <w:rPr>
          <w:rFonts w:asciiTheme="minorHAnsi" w:hAnsiTheme="minorHAnsi" w:cstheme="minorHAnsi"/>
          <w:sz w:val="22"/>
          <w:szCs w:val="22"/>
        </w:rPr>
        <w:t xml:space="preserve">For EASA Member States </w:t>
      </w:r>
      <w:r>
        <w:rPr>
          <w:rFonts w:asciiTheme="minorHAnsi" w:hAnsiTheme="minorHAnsi" w:cstheme="minorHAnsi"/>
          <w:sz w:val="22"/>
          <w:szCs w:val="22"/>
        </w:rPr>
        <w:t xml:space="preserve">corresponding </w:t>
      </w:r>
      <w:r w:rsidRPr="00E13951">
        <w:rPr>
          <w:rFonts w:asciiTheme="minorHAnsi" w:hAnsiTheme="minorHAnsi" w:cstheme="minorHAnsi"/>
          <w:sz w:val="22"/>
          <w:szCs w:val="22"/>
        </w:rPr>
        <w:t xml:space="preserve">actions </w:t>
      </w:r>
      <w:r>
        <w:rPr>
          <w:rFonts w:asciiTheme="minorHAnsi" w:hAnsiTheme="minorHAnsi" w:cstheme="minorHAnsi"/>
          <w:sz w:val="22"/>
          <w:szCs w:val="22"/>
        </w:rPr>
        <w:t xml:space="preserve">in EPAS </w:t>
      </w:r>
      <w:r w:rsidRPr="00E13951">
        <w:rPr>
          <w:rFonts w:asciiTheme="minorHAnsi" w:hAnsiTheme="minorHAnsi" w:cstheme="minorHAnsi"/>
          <w:sz w:val="22"/>
          <w:szCs w:val="22"/>
        </w:rPr>
        <w:t>are</w:t>
      </w:r>
      <w:r>
        <w:rPr>
          <w:rFonts w:asciiTheme="minorHAnsi" w:hAnsiTheme="minorHAnsi" w:cstheme="minorHAnsi"/>
          <w:sz w:val="22"/>
          <w:szCs w:val="22"/>
        </w:rPr>
        <w:t xml:space="preserve"> normally referred to as MSTs.</w:t>
      </w:r>
    </w:p>
    <w:p w14:paraId="0FFB83E0" w14:textId="6F37C7FA" w:rsidR="00CB4064" w:rsidRPr="00CB4064" w:rsidRDefault="00CB4064" w:rsidP="00CB4064">
      <w:pPr>
        <w:tabs>
          <w:tab w:val="left" w:pos="567"/>
        </w:tabs>
        <w:spacing w:after="120" w:line="276" w:lineRule="auto"/>
        <w:ind w:left="567"/>
        <w:jc w:val="both"/>
        <w:rPr>
          <w:rFonts w:asciiTheme="minorHAnsi" w:hAnsiTheme="minorHAnsi" w:cstheme="minorHAnsi"/>
          <w:sz w:val="22"/>
          <w:szCs w:val="22"/>
        </w:rPr>
      </w:pPr>
      <w:r w:rsidRPr="00CB4064">
        <w:rPr>
          <w:rFonts w:asciiTheme="minorHAnsi" w:hAnsiTheme="minorHAnsi" w:cstheme="minorHAnsi"/>
          <w:sz w:val="22"/>
          <w:szCs w:val="22"/>
        </w:rPr>
        <w:t xml:space="preserve">Some of SMT actions would depend on related RMT actions, some would require proper coordination with other authorities at the State, such as military, juridical authorities, </w:t>
      </w:r>
      <w:r w:rsidR="00D06B8C" w:rsidRPr="00CB4064">
        <w:rPr>
          <w:rFonts w:asciiTheme="minorHAnsi" w:hAnsiTheme="minorHAnsi" w:cstheme="minorHAnsi"/>
          <w:sz w:val="22"/>
          <w:szCs w:val="22"/>
        </w:rPr>
        <w:t>etc</w:t>
      </w:r>
      <w:r w:rsidR="00D06B8C">
        <w:rPr>
          <w:rFonts w:asciiTheme="minorHAnsi" w:hAnsiTheme="minorHAnsi" w:cstheme="minorHAnsi"/>
          <w:sz w:val="22"/>
          <w:szCs w:val="22"/>
        </w:rPr>
        <w:t>.</w:t>
      </w:r>
    </w:p>
    <w:p w14:paraId="4F7C4FE6" w14:textId="4683C9E1" w:rsidR="00CB4064" w:rsidRPr="00E13951" w:rsidRDefault="00CB4064" w:rsidP="00CB4064">
      <w:pPr>
        <w:tabs>
          <w:tab w:val="left" w:pos="567"/>
        </w:tabs>
        <w:spacing w:after="120" w:line="276" w:lineRule="auto"/>
        <w:ind w:left="567"/>
        <w:jc w:val="both"/>
        <w:rPr>
          <w:rFonts w:asciiTheme="minorHAnsi" w:hAnsiTheme="minorHAnsi" w:cstheme="minorHAnsi"/>
          <w:sz w:val="22"/>
          <w:szCs w:val="22"/>
        </w:rPr>
      </w:pPr>
      <w:r w:rsidRPr="00E13951">
        <w:rPr>
          <w:rFonts w:asciiTheme="minorHAnsi" w:hAnsiTheme="minorHAnsi" w:cstheme="minorHAnsi"/>
          <w:sz w:val="22"/>
          <w:szCs w:val="22"/>
        </w:rPr>
        <w:t xml:space="preserve">An </w:t>
      </w:r>
      <w:r>
        <w:rPr>
          <w:rFonts w:asciiTheme="minorHAnsi" w:hAnsiTheme="minorHAnsi" w:cstheme="minorHAnsi"/>
          <w:sz w:val="22"/>
          <w:szCs w:val="22"/>
        </w:rPr>
        <w:t>SMT</w:t>
      </w:r>
      <w:r w:rsidRPr="00E13951">
        <w:rPr>
          <w:rFonts w:asciiTheme="minorHAnsi" w:hAnsiTheme="minorHAnsi" w:cstheme="minorHAnsi"/>
          <w:sz w:val="22"/>
          <w:szCs w:val="22"/>
        </w:rPr>
        <w:t xml:space="preserve"> may also be supported by a dedicated safety promotion task (SPT).</w:t>
      </w:r>
    </w:p>
    <w:p w14:paraId="4A48EBA4" w14:textId="77777777" w:rsidR="004400CC" w:rsidRPr="00E13951" w:rsidRDefault="004400CC">
      <w:pPr>
        <w:numPr>
          <w:ilvl w:val="0"/>
          <w:numId w:val="16"/>
        </w:numPr>
        <w:tabs>
          <w:tab w:val="left" w:pos="567"/>
        </w:tabs>
        <w:spacing w:after="60"/>
        <w:ind w:left="567" w:hanging="567"/>
        <w:jc w:val="both"/>
        <w:rPr>
          <w:rFonts w:asciiTheme="minorHAnsi" w:hAnsiTheme="minorHAnsi" w:cstheme="minorHAnsi"/>
          <w:sz w:val="22"/>
          <w:szCs w:val="22"/>
        </w:rPr>
      </w:pPr>
      <w:r w:rsidRPr="00E13951">
        <w:rPr>
          <w:rFonts w:asciiTheme="minorHAnsi" w:hAnsiTheme="minorHAnsi" w:cstheme="minorHAnsi"/>
          <w:b/>
          <w:sz w:val="22"/>
          <w:szCs w:val="22"/>
        </w:rPr>
        <w:t>Safety Promotion tasks (SPTs)</w:t>
      </w:r>
    </w:p>
    <w:p w14:paraId="6A84DCE6" w14:textId="72FFBAB8" w:rsidR="004400CC" w:rsidRPr="00E13951" w:rsidRDefault="004400CC" w:rsidP="004400CC">
      <w:pPr>
        <w:tabs>
          <w:tab w:val="left" w:pos="567"/>
        </w:tabs>
        <w:spacing w:after="120" w:line="276" w:lineRule="auto"/>
        <w:ind w:left="567"/>
        <w:jc w:val="both"/>
        <w:rPr>
          <w:rFonts w:asciiTheme="minorHAnsi" w:hAnsiTheme="minorHAnsi" w:cstheme="minorHAnsi"/>
          <w:sz w:val="22"/>
          <w:szCs w:val="22"/>
        </w:rPr>
      </w:pPr>
      <w:r w:rsidRPr="00E13951">
        <w:rPr>
          <w:rFonts w:asciiTheme="minorHAnsi" w:hAnsiTheme="minorHAnsi" w:cstheme="minorHAnsi"/>
          <w:b/>
          <w:sz w:val="22"/>
          <w:szCs w:val="22"/>
        </w:rPr>
        <w:t>SPTs</w:t>
      </w:r>
      <w:r w:rsidRPr="00E13951">
        <w:rPr>
          <w:rFonts w:asciiTheme="minorHAnsi" w:hAnsiTheme="minorHAnsi" w:cstheme="minorHAnsi"/>
          <w:sz w:val="22"/>
          <w:szCs w:val="22"/>
        </w:rPr>
        <w:t xml:space="preserve"> may be owned by States, </w:t>
      </w:r>
      <w:r w:rsidR="00F72EF8">
        <w:rPr>
          <w:rFonts w:asciiTheme="minorHAnsi" w:hAnsiTheme="minorHAnsi" w:cstheme="minorHAnsi"/>
          <w:sz w:val="22"/>
          <w:szCs w:val="22"/>
        </w:rPr>
        <w:t>i</w:t>
      </w:r>
      <w:r w:rsidR="00F72EF8" w:rsidRPr="00E13951">
        <w:rPr>
          <w:rFonts w:asciiTheme="minorHAnsi" w:hAnsiTheme="minorHAnsi" w:cstheme="minorHAnsi"/>
          <w:sz w:val="22"/>
          <w:szCs w:val="22"/>
        </w:rPr>
        <w:t xml:space="preserve">ndustry </w:t>
      </w:r>
      <w:r w:rsidRPr="00E13951">
        <w:rPr>
          <w:rFonts w:asciiTheme="minorHAnsi" w:hAnsiTheme="minorHAnsi" w:cstheme="minorHAnsi"/>
          <w:sz w:val="22"/>
          <w:szCs w:val="22"/>
        </w:rPr>
        <w:t xml:space="preserve">or other stakeholders and involve safety training, </w:t>
      </w:r>
      <w:r w:rsidR="00F72EF8">
        <w:rPr>
          <w:rFonts w:asciiTheme="minorHAnsi" w:hAnsiTheme="minorHAnsi" w:cstheme="minorHAnsi"/>
          <w:sz w:val="22"/>
          <w:szCs w:val="22"/>
        </w:rPr>
        <w:t xml:space="preserve">safety </w:t>
      </w:r>
      <w:r w:rsidRPr="00E13951">
        <w:rPr>
          <w:rFonts w:asciiTheme="minorHAnsi" w:hAnsiTheme="minorHAnsi" w:cstheme="minorHAnsi"/>
          <w:sz w:val="22"/>
          <w:szCs w:val="22"/>
        </w:rPr>
        <w:t>awareness</w:t>
      </w:r>
      <w:r w:rsidR="00781A37">
        <w:rPr>
          <w:rFonts w:asciiTheme="minorHAnsi" w:hAnsiTheme="minorHAnsi" w:cstheme="minorHAnsi"/>
          <w:sz w:val="22"/>
          <w:szCs w:val="22"/>
        </w:rPr>
        <w:t xml:space="preserve"> and </w:t>
      </w:r>
      <w:r w:rsidR="00F72EF8">
        <w:rPr>
          <w:rFonts w:asciiTheme="minorHAnsi" w:hAnsiTheme="minorHAnsi" w:cstheme="minorHAnsi"/>
          <w:sz w:val="22"/>
          <w:szCs w:val="22"/>
        </w:rPr>
        <w:t xml:space="preserve">safety </w:t>
      </w:r>
      <w:r w:rsidRPr="00E13951">
        <w:rPr>
          <w:rFonts w:asciiTheme="minorHAnsi" w:hAnsiTheme="minorHAnsi" w:cstheme="minorHAnsi"/>
          <w:sz w:val="22"/>
          <w:szCs w:val="22"/>
        </w:rPr>
        <w:t xml:space="preserve">education </w:t>
      </w:r>
      <w:r w:rsidR="00781A37">
        <w:rPr>
          <w:rFonts w:asciiTheme="minorHAnsi" w:hAnsiTheme="minorHAnsi" w:cstheme="minorHAnsi"/>
          <w:sz w:val="22"/>
          <w:szCs w:val="22"/>
        </w:rPr>
        <w:t xml:space="preserve">as well </w:t>
      </w:r>
      <w:r w:rsidRPr="00E13951">
        <w:rPr>
          <w:rFonts w:asciiTheme="minorHAnsi" w:hAnsiTheme="minorHAnsi" w:cstheme="minorHAnsi"/>
          <w:sz w:val="22"/>
          <w:szCs w:val="22"/>
        </w:rPr>
        <w:t xml:space="preserve">dissemination of safety relevant information to further engage and interact with relevant aviation stakeholders </w:t>
      </w:r>
      <w:r w:rsidR="00D06B8C" w:rsidRPr="00E13951">
        <w:rPr>
          <w:rFonts w:asciiTheme="minorHAnsi" w:hAnsiTheme="minorHAnsi" w:cstheme="minorHAnsi"/>
          <w:sz w:val="22"/>
          <w:szCs w:val="22"/>
        </w:rPr>
        <w:t>to</w:t>
      </w:r>
      <w:r w:rsidRPr="00E13951">
        <w:rPr>
          <w:rFonts w:asciiTheme="minorHAnsi" w:hAnsiTheme="minorHAnsi" w:cstheme="minorHAnsi"/>
          <w:sz w:val="22"/>
          <w:szCs w:val="22"/>
        </w:rPr>
        <w:t xml:space="preserve"> positively influence or change individual behaviour with the ultimate objective of achieving predetermined aviation safety objectives. It includes the promotion of safety topics, rulemaking and awareness, communicating about safety intelligence, priorities and actions and other tasks to raise awareness with individuals, as well as organisations. </w:t>
      </w:r>
    </w:p>
    <w:p w14:paraId="061B5A18" w14:textId="56C387C8" w:rsidR="004400CC" w:rsidRPr="00E13951" w:rsidRDefault="004400CC" w:rsidP="004400CC">
      <w:pPr>
        <w:tabs>
          <w:tab w:val="left" w:pos="567"/>
        </w:tabs>
        <w:spacing w:after="120" w:line="276" w:lineRule="auto"/>
        <w:ind w:left="567"/>
        <w:jc w:val="both"/>
        <w:rPr>
          <w:rFonts w:asciiTheme="minorHAnsi" w:hAnsiTheme="minorHAnsi" w:cstheme="minorHAnsi"/>
          <w:sz w:val="22"/>
          <w:szCs w:val="22"/>
        </w:rPr>
      </w:pPr>
      <w:r w:rsidRPr="00E13951">
        <w:rPr>
          <w:rFonts w:asciiTheme="minorHAnsi" w:hAnsiTheme="minorHAnsi" w:cstheme="minorHAnsi"/>
          <w:sz w:val="22"/>
          <w:szCs w:val="22"/>
        </w:rPr>
        <w:t xml:space="preserve">SPTs may also address operational safety issues identified in the safety risk management process, safety priorities identified in GASP or through the EASA Standardisation or ICAO USOAP processes. </w:t>
      </w:r>
    </w:p>
    <w:p w14:paraId="625C0BD4" w14:textId="77777777" w:rsidR="004400CC" w:rsidRPr="00E13951" w:rsidRDefault="004400CC" w:rsidP="004400CC">
      <w:pPr>
        <w:tabs>
          <w:tab w:val="left" w:pos="567"/>
        </w:tabs>
        <w:spacing w:after="120" w:line="276" w:lineRule="auto"/>
        <w:ind w:left="567"/>
        <w:jc w:val="both"/>
        <w:rPr>
          <w:rFonts w:asciiTheme="minorHAnsi" w:hAnsiTheme="minorHAnsi" w:cstheme="minorHAnsi"/>
          <w:sz w:val="22"/>
          <w:szCs w:val="22"/>
        </w:rPr>
      </w:pPr>
      <w:r w:rsidRPr="00E13951">
        <w:rPr>
          <w:rFonts w:asciiTheme="minorHAnsi" w:hAnsiTheme="minorHAnsi" w:cstheme="minorHAnsi"/>
          <w:sz w:val="22"/>
          <w:szCs w:val="22"/>
        </w:rPr>
        <w:t>SPTs can involve a wide range of deliverables that include guides, videos, text for use in websites and printed media, social media and outreach activities.</w:t>
      </w:r>
    </w:p>
    <w:p w14:paraId="003EBE4E" w14:textId="58B3D1F8" w:rsidR="004400CC" w:rsidRPr="00E13951" w:rsidRDefault="004400CC" w:rsidP="004400CC">
      <w:pPr>
        <w:tabs>
          <w:tab w:val="left" w:pos="567"/>
        </w:tabs>
        <w:spacing w:after="120" w:line="276" w:lineRule="auto"/>
        <w:ind w:left="567"/>
        <w:jc w:val="both"/>
        <w:rPr>
          <w:rFonts w:asciiTheme="minorHAnsi" w:hAnsiTheme="minorHAnsi" w:cstheme="minorHAnsi"/>
          <w:sz w:val="22"/>
          <w:szCs w:val="22"/>
        </w:rPr>
      </w:pPr>
      <w:r w:rsidRPr="00E13951">
        <w:rPr>
          <w:rFonts w:asciiTheme="minorHAnsi" w:hAnsiTheme="minorHAnsi" w:cstheme="minorHAnsi"/>
          <w:sz w:val="22"/>
          <w:szCs w:val="22"/>
        </w:rPr>
        <w:t xml:space="preserve">The </w:t>
      </w:r>
      <w:r w:rsidR="00E13951">
        <w:rPr>
          <w:rFonts w:asciiTheme="minorHAnsi" w:hAnsiTheme="minorHAnsi" w:cstheme="minorHAnsi"/>
          <w:sz w:val="22"/>
          <w:szCs w:val="22"/>
        </w:rPr>
        <w:t xml:space="preserve">RESG </w:t>
      </w:r>
      <w:r w:rsidRPr="00E13951">
        <w:rPr>
          <w:rFonts w:asciiTheme="minorHAnsi" w:hAnsiTheme="minorHAnsi" w:cstheme="minorHAnsi"/>
          <w:sz w:val="22"/>
          <w:szCs w:val="22"/>
        </w:rPr>
        <w:t xml:space="preserve">may further support the implementation of specific SPTs through thematic workshops, targeted implementation support actions, training sessions, </w:t>
      </w:r>
      <w:r w:rsidR="00D06B8C" w:rsidRPr="00E13951">
        <w:rPr>
          <w:rFonts w:asciiTheme="minorHAnsi" w:hAnsiTheme="minorHAnsi" w:cstheme="minorHAnsi"/>
          <w:sz w:val="22"/>
          <w:szCs w:val="22"/>
        </w:rPr>
        <w:t>etc.</w:t>
      </w:r>
      <w:r w:rsidRPr="00E13951">
        <w:rPr>
          <w:rFonts w:asciiTheme="minorHAnsi" w:hAnsiTheme="minorHAnsi" w:cstheme="minorHAnsi"/>
          <w:sz w:val="22"/>
          <w:szCs w:val="22"/>
        </w:rPr>
        <w:t xml:space="preserve"> During such implementation support actions, different implementation approaches, difficulties or best practices are brought up and discussed.</w:t>
      </w:r>
    </w:p>
    <w:p w14:paraId="589A8F11" w14:textId="77777777" w:rsidR="00E8076A" w:rsidRDefault="00E8076A">
      <w:pPr>
        <w:rPr>
          <w:rFonts w:asciiTheme="minorHAnsi" w:hAnsiTheme="minorHAnsi" w:cstheme="minorHAnsi"/>
          <w:sz w:val="22"/>
          <w:szCs w:val="22"/>
        </w:rPr>
      </w:pPr>
      <w:r>
        <w:rPr>
          <w:rFonts w:asciiTheme="minorHAnsi" w:hAnsiTheme="minorHAnsi" w:cstheme="minorHAnsi"/>
          <w:szCs w:val="22"/>
        </w:rPr>
        <w:br w:type="page"/>
      </w:r>
    </w:p>
    <w:p w14:paraId="57A5145C" w14:textId="2126626C" w:rsidR="003248BE" w:rsidRPr="00E13951" w:rsidRDefault="003248BE" w:rsidP="003248BE">
      <w:pPr>
        <w:pStyle w:val="BodyText1"/>
        <w:spacing w:before="120" w:after="120"/>
        <w:rPr>
          <w:rFonts w:asciiTheme="minorHAnsi" w:hAnsiTheme="minorHAnsi" w:cstheme="minorHAnsi"/>
          <w:szCs w:val="22"/>
        </w:rPr>
      </w:pPr>
      <w:r w:rsidRPr="00E13951">
        <w:rPr>
          <w:rFonts w:asciiTheme="minorHAnsi" w:hAnsiTheme="minorHAnsi" w:cstheme="minorHAnsi"/>
          <w:szCs w:val="22"/>
        </w:rPr>
        <w:lastRenderedPageBreak/>
        <w:t xml:space="preserve">The information for individual actions is displayed in accordance with the below template: </w:t>
      </w:r>
    </w:p>
    <w:tbl>
      <w:tblPr>
        <w:tblStyle w:val="TableGrid"/>
        <w:tblW w:w="9928" w:type="dxa"/>
        <w:tblInd w:w="-10" w:type="dxa"/>
        <w:tblLayout w:type="fixed"/>
        <w:tblLook w:val="04A0" w:firstRow="1" w:lastRow="0" w:firstColumn="1" w:lastColumn="0" w:noHBand="0" w:noVBand="1"/>
      </w:tblPr>
      <w:tblGrid>
        <w:gridCol w:w="1978"/>
        <w:gridCol w:w="992"/>
        <w:gridCol w:w="2279"/>
        <w:gridCol w:w="1701"/>
        <w:gridCol w:w="2978"/>
      </w:tblGrid>
      <w:tr w:rsidR="003248BE" w:rsidRPr="00631EF6" w14:paraId="060033E0" w14:textId="77777777" w:rsidTr="00594818">
        <w:tc>
          <w:tcPr>
            <w:tcW w:w="9928" w:type="dxa"/>
            <w:gridSpan w:val="5"/>
            <w:tcBorders>
              <w:bottom w:val="nil"/>
            </w:tcBorders>
            <w:shd w:val="clear" w:color="auto" w:fill="948A54" w:themeFill="background2" w:themeFillShade="80"/>
          </w:tcPr>
          <w:p w14:paraId="730AF259" w14:textId="77777777" w:rsidR="003248BE" w:rsidRPr="00631EF6" w:rsidRDefault="003248BE" w:rsidP="00594818">
            <w:pPr>
              <w:jc w:val="both"/>
              <w:rPr>
                <w:rFonts w:cstheme="minorHAnsi"/>
                <w:sz w:val="6"/>
                <w:szCs w:val="6"/>
              </w:rPr>
            </w:pPr>
          </w:p>
        </w:tc>
      </w:tr>
      <w:tr w:rsidR="003248BE" w:rsidRPr="00E13951" w14:paraId="748A9096" w14:textId="77777777" w:rsidTr="00594818">
        <w:trPr>
          <w:trHeight w:val="394"/>
        </w:trPr>
        <w:tc>
          <w:tcPr>
            <w:tcW w:w="1978" w:type="dxa"/>
            <w:tcBorders>
              <w:top w:val="nil"/>
              <w:left w:val="nil"/>
              <w:bottom w:val="nil"/>
              <w:right w:val="nil"/>
            </w:tcBorders>
            <w:shd w:val="clear" w:color="auto" w:fill="DBE5F1" w:themeFill="accent1" w:themeFillTint="33"/>
          </w:tcPr>
          <w:p w14:paraId="50D2CF72" w14:textId="77777777" w:rsidR="003248BE" w:rsidRPr="00E13951" w:rsidRDefault="003248BE" w:rsidP="00594818">
            <w:pPr>
              <w:rPr>
                <w:rFonts w:asciiTheme="minorHAnsi" w:hAnsiTheme="minorHAnsi" w:cstheme="minorHAnsi"/>
                <w:b/>
                <w:bCs/>
              </w:rPr>
            </w:pPr>
            <w:r w:rsidRPr="00E13951">
              <w:rPr>
                <w:rFonts w:asciiTheme="minorHAnsi" w:hAnsiTheme="minorHAnsi" w:cstheme="minorHAnsi"/>
                <w:b/>
                <w:bCs/>
              </w:rPr>
              <w:t>Action reference</w:t>
            </w:r>
          </w:p>
          <w:p w14:paraId="426D35A9" w14:textId="77777777" w:rsidR="003248BE" w:rsidRPr="00E13951" w:rsidRDefault="003248BE" w:rsidP="00594818">
            <w:pPr>
              <w:rPr>
                <w:rFonts w:asciiTheme="minorHAnsi" w:hAnsiTheme="minorHAnsi" w:cstheme="minorHAnsi"/>
                <w:b/>
                <w:bCs/>
                <w:szCs w:val="20"/>
              </w:rPr>
            </w:pPr>
          </w:p>
        </w:tc>
        <w:tc>
          <w:tcPr>
            <w:tcW w:w="7950" w:type="dxa"/>
            <w:gridSpan w:val="4"/>
            <w:tcBorders>
              <w:top w:val="nil"/>
              <w:left w:val="nil"/>
              <w:bottom w:val="nil"/>
              <w:right w:val="nil"/>
            </w:tcBorders>
            <w:shd w:val="clear" w:color="auto" w:fill="DBE5F1" w:themeFill="accent1" w:themeFillTint="33"/>
          </w:tcPr>
          <w:p w14:paraId="72B067C9" w14:textId="77777777" w:rsidR="003248BE" w:rsidRPr="00E13951" w:rsidRDefault="003248BE" w:rsidP="00594818">
            <w:pPr>
              <w:rPr>
                <w:rFonts w:asciiTheme="minorHAnsi" w:hAnsiTheme="minorHAnsi" w:cstheme="minorHAnsi"/>
                <w:b/>
                <w:bCs/>
              </w:rPr>
            </w:pPr>
            <w:r w:rsidRPr="00E13951">
              <w:rPr>
                <w:rFonts w:asciiTheme="minorHAnsi" w:hAnsiTheme="minorHAnsi" w:cstheme="minorHAnsi"/>
                <w:b/>
                <w:bCs/>
              </w:rPr>
              <w:t>Action title</w:t>
            </w:r>
          </w:p>
        </w:tc>
      </w:tr>
      <w:tr w:rsidR="003248BE" w:rsidRPr="00E13951" w14:paraId="798F5168" w14:textId="77777777" w:rsidTr="00594818">
        <w:tc>
          <w:tcPr>
            <w:tcW w:w="9928" w:type="dxa"/>
            <w:gridSpan w:val="5"/>
            <w:tcBorders>
              <w:top w:val="nil"/>
              <w:left w:val="nil"/>
              <w:bottom w:val="nil"/>
              <w:right w:val="nil"/>
            </w:tcBorders>
          </w:tcPr>
          <w:p w14:paraId="02D9D364" w14:textId="77777777" w:rsidR="003248BE" w:rsidRPr="00E13951" w:rsidRDefault="003248BE">
            <w:pPr>
              <w:pStyle w:val="ListParagraph"/>
              <w:numPr>
                <w:ilvl w:val="0"/>
                <w:numId w:val="20"/>
              </w:num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Short action description</w:t>
            </w:r>
          </w:p>
        </w:tc>
      </w:tr>
      <w:tr w:rsidR="003248BE" w:rsidRPr="00E13951" w14:paraId="13E046FB" w14:textId="77777777" w:rsidTr="00594818">
        <w:trPr>
          <w:trHeight w:val="255"/>
        </w:trPr>
        <w:tc>
          <w:tcPr>
            <w:tcW w:w="1978" w:type="dxa"/>
            <w:tcBorders>
              <w:top w:val="nil"/>
              <w:left w:val="nil"/>
              <w:bottom w:val="nil"/>
              <w:right w:val="nil"/>
            </w:tcBorders>
            <w:vAlign w:val="center"/>
          </w:tcPr>
          <w:p w14:paraId="0A32F7D3" w14:textId="77777777" w:rsidR="003248BE" w:rsidRPr="00E13951" w:rsidRDefault="003248BE" w:rsidP="00594818">
            <w:pPr>
              <w:spacing w:before="53" w:after="53"/>
              <w:rPr>
                <w:rFonts w:asciiTheme="minorHAnsi" w:hAnsiTheme="minorHAnsi" w:cstheme="minorHAnsi"/>
                <w:b/>
                <w:bCs/>
              </w:rPr>
            </w:pPr>
            <w:r w:rsidRPr="00E13951">
              <w:rPr>
                <w:rFonts w:asciiTheme="minorHAnsi" w:hAnsiTheme="minorHAnsi" w:cstheme="minorHAnsi"/>
                <w:b/>
                <w:bCs/>
              </w:rPr>
              <w:t>Status</w:t>
            </w:r>
          </w:p>
        </w:tc>
        <w:tc>
          <w:tcPr>
            <w:tcW w:w="3271" w:type="dxa"/>
            <w:gridSpan w:val="2"/>
            <w:tcBorders>
              <w:top w:val="nil"/>
              <w:left w:val="nil"/>
              <w:bottom w:val="nil"/>
              <w:right w:val="nil"/>
            </w:tcBorders>
            <w:vAlign w:val="center"/>
          </w:tcPr>
          <w:p w14:paraId="605A1991" w14:textId="77777777" w:rsidR="003248BE" w:rsidRPr="00E13951" w:rsidRDefault="003248BE">
            <w:pPr>
              <w:pStyle w:val="ListParagraph"/>
              <w:numPr>
                <w:ilvl w:val="0"/>
                <w:numId w:val="20"/>
              </w:num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new/ongoing</w:t>
            </w:r>
          </w:p>
        </w:tc>
        <w:tc>
          <w:tcPr>
            <w:tcW w:w="1701" w:type="dxa"/>
            <w:tcBorders>
              <w:top w:val="nil"/>
              <w:left w:val="nil"/>
              <w:bottom w:val="nil"/>
              <w:right w:val="nil"/>
            </w:tcBorders>
            <w:vAlign w:val="center"/>
          </w:tcPr>
          <w:p w14:paraId="7B93A730" w14:textId="77777777" w:rsidR="003248BE" w:rsidRPr="00E13951" w:rsidRDefault="003248BE" w:rsidP="00594818">
            <w:pPr>
              <w:spacing w:before="53" w:after="53"/>
              <w:ind w:left="-6" w:firstLine="608"/>
              <w:rPr>
                <w:rFonts w:asciiTheme="minorHAnsi" w:hAnsiTheme="minorHAnsi" w:cstheme="minorHAnsi"/>
                <w:i/>
                <w14:shadow w14:blurRad="63500" w14:dist="50800" w14:dir="10800000" w14:sx="0" w14:sy="0" w14:kx="0" w14:ky="0" w14:algn="none">
                  <w14:srgbClr w14:val="000000">
                    <w14:alpha w14:val="50000"/>
                  </w14:srgbClr>
                </w14:shadow>
              </w:rPr>
            </w:pPr>
          </w:p>
        </w:tc>
        <w:tc>
          <w:tcPr>
            <w:tcW w:w="2978" w:type="dxa"/>
            <w:tcBorders>
              <w:top w:val="nil"/>
              <w:left w:val="nil"/>
              <w:bottom w:val="nil"/>
              <w:right w:val="nil"/>
            </w:tcBorders>
            <w:vAlign w:val="center"/>
          </w:tcPr>
          <w:p w14:paraId="6A81E2A2" w14:textId="77777777" w:rsidR="003248BE" w:rsidRPr="00E13951" w:rsidRDefault="003248BE" w:rsidP="00594818">
            <w:pPr>
              <w:pStyle w:val="ListParagraph"/>
              <w:spacing w:before="53" w:after="53"/>
              <w:ind w:left="360"/>
              <w:rPr>
                <w:rFonts w:asciiTheme="minorHAnsi" w:hAnsiTheme="minorHAnsi" w:cstheme="minorHAnsi"/>
                <w:i/>
                <w14:shadow w14:blurRad="63500" w14:dist="50800" w14:dir="10800000" w14:sx="0" w14:sy="0" w14:kx="0" w14:ky="0" w14:algn="none">
                  <w14:srgbClr w14:val="000000">
                    <w14:alpha w14:val="50000"/>
                  </w14:srgbClr>
                </w14:shadow>
              </w:rPr>
            </w:pPr>
          </w:p>
        </w:tc>
      </w:tr>
      <w:tr w:rsidR="003248BE" w:rsidRPr="00E13951" w14:paraId="302F0A50" w14:textId="77777777" w:rsidTr="00594818">
        <w:trPr>
          <w:trHeight w:val="255"/>
        </w:trPr>
        <w:tc>
          <w:tcPr>
            <w:tcW w:w="1978" w:type="dxa"/>
            <w:tcBorders>
              <w:top w:val="nil"/>
              <w:left w:val="nil"/>
              <w:bottom w:val="nil"/>
              <w:right w:val="nil"/>
            </w:tcBorders>
            <w:vAlign w:val="center"/>
          </w:tcPr>
          <w:p w14:paraId="1E0FD4C4" w14:textId="77777777" w:rsidR="003248BE" w:rsidRPr="00E13951" w:rsidRDefault="003248BE" w:rsidP="00594818">
            <w:pPr>
              <w:spacing w:before="53" w:after="53"/>
              <w:rPr>
                <w:rFonts w:asciiTheme="minorHAnsi" w:hAnsiTheme="minorHAnsi" w:cstheme="minorHAnsi"/>
                <w:b/>
                <w:bCs/>
              </w:rPr>
            </w:pPr>
            <w:r w:rsidRPr="00E13951">
              <w:rPr>
                <w:rFonts w:asciiTheme="minorHAnsi" w:hAnsiTheme="minorHAnsi" w:cstheme="minorHAnsi"/>
                <w:b/>
                <w:bCs/>
              </w:rPr>
              <w:t>Reference(s)</w:t>
            </w:r>
          </w:p>
        </w:tc>
        <w:tc>
          <w:tcPr>
            <w:tcW w:w="7950" w:type="dxa"/>
            <w:gridSpan w:val="4"/>
            <w:tcBorders>
              <w:top w:val="nil"/>
              <w:left w:val="nil"/>
              <w:bottom w:val="nil"/>
              <w:right w:val="nil"/>
            </w:tcBorders>
            <w:vAlign w:val="center"/>
          </w:tcPr>
          <w:p w14:paraId="606224EA" w14:textId="77777777" w:rsidR="003248BE" w:rsidRPr="00DB4682" w:rsidRDefault="003248BE">
            <w:pPr>
              <w:pStyle w:val="ListParagraph"/>
              <w:numPr>
                <w:ilvl w:val="0"/>
                <w:numId w:val="20"/>
              </w:num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DB4682">
              <w:rPr>
                <w:rFonts w:asciiTheme="minorHAnsi" w:hAnsiTheme="minorHAnsi" w:cstheme="minorHAnsi"/>
                <w:i/>
                <w:sz w:val="16"/>
                <w:szCs w:val="16"/>
                <w14:shadow w14:blurRad="63500" w14:dist="50800" w14:dir="10800000" w14:sx="0" w14:sy="0" w14:kx="0" w14:ky="0" w14:algn="none">
                  <w14:srgbClr w14:val="000000">
                    <w14:alpha w14:val="50000"/>
                  </w14:srgbClr>
                </w14:shadow>
              </w:rPr>
              <w:t>References to other plans (e.g. GASP, ATM Master Plan), or other important documents, including safety promotion or guidance material that supports the EUR RASP action</w:t>
            </w:r>
          </w:p>
        </w:tc>
      </w:tr>
      <w:tr w:rsidR="003248BE" w:rsidRPr="00E13951" w14:paraId="719E1324" w14:textId="77777777" w:rsidTr="00594818">
        <w:trPr>
          <w:trHeight w:val="255"/>
        </w:trPr>
        <w:tc>
          <w:tcPr>
            <w:tcW w:w="1978" w:type="dxa"/>
            <w:tcBorders>
              <w:top w:val="nil"/>
              <w:left w:val="nil"/>
              <w:bottom w:val="nil"/>
              <w:right w:val="nil"/>
            </w:tcBorders>
            <w:vAlign w:val="center"/>
          </w:tcPr>
          <w:p w14:paraId="17AB68B8" w14:textId="77777777" w:rsidR="003248BE" w:rsidRPr="00E13951" w:rsidRDefault="003248BE" w:rsidP="00594818">
            <w:pPr>
              <w:spacing w:before="53" w:after="53"/>
              <w:rPr>
                <w:rFonts w:asciiTheme="minorHAnsi" w:hAnsiTheme="minorHAnsi" w:cstheme="minorHAnsi"/>
                <w:b/>
                <w:bCs/>
              </w:rPr>
            </w:pPr>
            <w:r w:rsidRPr="00E13951">
              <w:rPr>
                <w:rFonts w:asciiTheme="minorHAnsi" w:hAnsiTheme="minorHAnsi" w:cstheme="minorHAnsi"/>
                <w:b/>
                <w:bCs/>
              </w:rPr>
              <w:t>Dependencies</w:t>
            </w:r>
          </w:p>
        </w:tc>
        <w:tc>
          <w:tcPr>
            <w:tcW w:w="7950" w:type="dxa"/>
            <w:gridSpan w:val="4"/>
            <w:tcBorders>
              <w:top w:val="nil"/>
              <w:left w:val="nil"/>
              <w:bottom w:val="nil"/>
              <w:right w:val="nil"/>
            </w:tcBorders>
            <w:vAlign w:val="center"/>
          </w:tcPr>
          <w:p w14:paraId="25DD2387" w14:textId="77777777" w:rsidR="003248BE" w:rsidRPr="00E13951" w:rsidRDefault="003248BE">
            <w:pPr>
              <w:pStyle w:val="ListParagraph"/>
              <w:numPr>
                <w:ilvl w:val="0"/>
                <w:numId w:val="20"/>
              </w:num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Reference to the following categories of information: </w:t>
            </w:r>
          </w:p>
          <w:p w14:paraId="2FA8ACDD" w14:textId="77777777" w:rsidR="003248BE" w:rsidRPr="00E13951" w:rsidRDefault="003248BE">
            <w:pPr>
              <w:pStyle w:val="ListParagraph"/>
              <w:numPr>
                <w:ilvl w:val="0"/>
                <w:numId w:val="18"/>
              </w:numPr>
              <w:spacing w:before="53" w:after="53"/>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GASP Goal 1-6</w:t>
            </w:r>
          </w:p>
          <w:p w14:paraId="74FC6450" w14:textId="77777777" w:rsidR="003248BE" w:rsidRPr="00E13951" w:rsidRDefault="003248BE">
            <w:pPr>
              <w:pStyle w:val="ListParagraph"/>
              <w:numPr>
                <w:ilvl w:val="0"/>
                <w:numId w:val="18"/>
              </w:num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EPAS: EPAS reference number</w:t>
            </w:r>
          </w:p>
          <w:p w14:paraId="11A13C96" w14:textId="77777777" w:rsidR="003248BE" w:rsidRPr="00E13951" w:rsidRDefault="003248BE">
            <w:pPr>
              <w:pStyle w:val="ListParagraph"/>
              <w:numPr>
                <w:ilvl w:val="0"/>
                <w:numId w:val="18"/>
              </w:num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Inter-dependencies among EUR RASP actions;</w:t>
            </w:r>
          </w:p>
        </w:tc>
      </w:tr>
      <w:tr w:rsidR="003248BE" w:rsidRPr="00E13951" w14:paraId="40DCE401" w14:textId="77777777" w:rsidTr="00594818">
        <w:tc>
          <w:tcPr>
            <w:tcW w:w="9928" w:type="dxa"/>
            <w:gridSpan w:val="5"/>
            <w:tcBorders>
              <w:top w:val="nil"/>
              <w:left w:val="nil"/>
              <w:bottom w:val="nil"/>
              <w:right w:val="nil"/>
            </w:tcBorders>
            <w:shd w:val="clear" w:color="auto" w:fill="948A54" w:themeFill="background2" w:themeFillShade="80"/>
          </w:tcPr>
          <w:p w14:paraId="58514550" w14:textId="77777777" w:rsidR="003248BE" w:rsidRPr="00E13951" w:rsidRDefault="003248BE" w:rsidP="00594818">
            <w:pPr>
              <w:jc w:val="both"/>
              <w:rPr>
                <w:rFonts w:asciiTheme="minorHAnsi" w:hAnsiTheme="minorHAnsi" w:cstheme="minorHAnsi"/>
                <w:sz w:val="6"/>
                <w:szCs w:val="6"/>
              </w:rPr>
            </w:pPr>
          </w:p>
        </w:tc>
      </w:tr>
      <w:tr w:rsidR="003248BE" w:rsidRPr="00E13951" w14:paraId="7B8EF0A4" w14:textId="77777777" w:rsidTr="00594818">
        <w:tc>
          <w:tcPr>
            <w:tcW w:w="2970" w:type="dxa"/>
            <w:gridSpan w:val="2"/>
            <w:tcBorders>
              <w:top w:val="nil"/>
              <w:left w:val="nil"/>
              <w:bottom w:val="nil"/>
              <w:right w:val="nil"/>
            </w:tcBorders>
          </w:tcPr>
          <w:p w14:paraId="7523E150" w14:textId="77777777" w:rsidR="003248BE" w:rsidRPr="00E13951" w:rsidRDefault="003248BE" w:rsidP="00594818">
            <w:pPr>
              <w:spacing w:before="53" w:after="53"/>
              <w:rPr>
                <w:rFonts w:asciiTheme="minorHAnsi" w:hAnsiTheme="minorHAnsi" w:cstheme="minorHAnsi"/>
              </w:rPr>
            </w:pPr>
            <w:r w:rsidRPr="00E13951">
              <w:rPr>
                <w:rFonts w:asciiTheme="minorHAnsi" w:hAnsiTheme="minorHAnsi" w:cstheme="minorHAnsi"/>
                <w:b/>
                <w:bCs/>
              </w:rPr>
              <w:t>Affected stakeholders</w:t>
            </w:r>
          </w:p>
        </w:tc>
        <w:tc>
          <w:tcPr>
            <w:tcW w:w="6958" w:type="dxa"/>
            <w:gridSpan w:val="3"/>
            <w:tcBorders>
              <w:top w:val="nil"/>
              <w:left w:val="nil"/>
              <w:bottom w:val="nil"/>
              <w:right w:val="nil"/>
            </w:tcBorders>
          </w:tcPr>
          <w:p w14:paraId="7C87A9ED" w14:textId="77777777" w:rsidR="003248BE" w:rsidRPr="00E13951" w:rsidRDefault="003248BE">
            <w:pPr>
              <w:pStyle w:val="ListParagraph"/>
              <w:numPr>
                <w:ilvl w:val="0"/>
                <w:numId w:val="20"/>
              </w:num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List of main stakeholders affected using ICAO taxonomy and terminology</w:t>
            </w:r>
          </w:p>
        </w:tc>
      </w:tr>
      <w:tr w:rsidR="003248BE" w:rsidRPr="00E13951" w14:paraId="7E32EFBC" w14:textId="77777777" w:rsidTr="00594818">
        <w:tc>
          <w:tcPr>
            <w:tcW w:w="2970" w:type="dxa"/>
            <w:gridSpan w:val="2"/>
            <w:tcBorders>
              <w:top w:val="nil"/>
              <w:left w:val="nil"/>
              <w:bottom w:val="nil"/>
              <w:right w:val="nil"/>
            </w:tcBorders>
          </w:tcPr>
          <w:p w14:paraId="35B2B40C" w14:textId="77777777" w:rsidR="003248BE" w:rsidRPr="00E13951" w:rsidRDefault="003248BE" w:rsidP="00594818">
            <w:pPr>
              <w:spacing w:before="53" w:after="53"/>
              <w:rPr>
                <w:rFonts w:asciiTheme="minorHAnsi" w:hAnsiTheme="minorHAnsi" w:cstheme="minorHAnsi"/>
                <w:b/>
                <w:bCs/>
              </w:rPr>
            </w:pPr>
            <w:r w:rsidRPr="00E13951">
              <w:rPr>
                <w:rFonts w:asciiTheme="minorHAnsi" w:hAnsiTheme="minorHAnsi" w:cstheme="minorHAnsi"/>
                <w:b/>
                <w:bCs/>
              </w:rPr>
              <w:t>Owner</w:t>
            </w:r>
          </w:p>
        </w:tc>
        <w:tc>
          <w:tcPr>
            <w:tcW w:w="6958" w:type="dxa"/>
            <w:gridSpan w:val="3"/>
            <w:tcBorders>
              <w:top w:val="nil"/>
              <w:left w:val="nil"/>
              <w:bottom w:val="nil"/>
              <w:right w:val="nil"/>
            </w:tcBorders>
          </w:tcPr>
          <w:p w14:paraId="23B1FC90" w14:textId="77777777" w:rsidR="003248BE" w:rsidRPr="00E13951" w:rsidRDefault="003248BE">
            <w:pPr>
              <w:pStyle w:val="ListParagraph"/>
              <w:numPr>
                <w:ilvl w:val="0"/>
                <w:numId w:val="20"/>
              </w:numPr>
              <w:spacing w:before="53" w:after="53"/>
              <w:rPr>
                <w:rFonts w:asciiTheme="minorHAnsi" w:hAnsiTheme="minorHAnsi" w:cstheme="minorHAnsi"/>
                <w:i/>
                <w14:shadow w14:blurRad="63500" w14:dist="50800" w14:dir="10800000" w14:sx="0" w14:sy="0" w14:kx="0" w14:ky="0" w14:algn="none">
                  <w14:srgbClr w14:val="000000">
                    <w14:alpha w14:val="50000"/>
                  </w14:srgbClr>
                </w14:shadow>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Entity responsible for implementing the action (Region, State, Industry, etc.) </w:t>
            </w:r>
          </w:p>
        </w:tc>
      </w:tr>
      <w:tr w:rsidR="003248BE" w:rsidRPr="00E13951" w14:paraId="146741C5" w14:textId="77777777" w:rsidTr="00594818">
        <w:tc>
          <w:tcPr>
            <w:tcW w:w="9928" w:type="dxa"/>
            <w:gridSpan w:val="5"/>
            <w:tcBorders>
              <w:top w:val="nil"/>
              <w:left w:val="nil"/>
              <w:bottom w:val="nil"/>
              <w:right w:val="nil"/>
            </w:tcBorders>
            <w:shd w:val="clear" w:color="auto" w:fill="948A54" w:themeFill="background2" w:themeFillShade="80"/>
          </w:tcPr>
          <w:p w14:paraId="0323EDD2" w14:textId="77777777" w:rsidR="003248BE" w:rsidRPr="00E13951" w:rsidRDefault="003248BE" w:rsidP="00594818">
            <w:pPr>
              <w:jc w:val="both"/>
              <w:rPr>
                <w:rFonts w:asciiTheme="minorHAnsi" w:hAnsiTheme="minorHAnsi" w:cstheme="minorHAnsi"/>
                <w:sz w:val="6"/>
                <w:szCs w:val="6"/>
              </w:rPr>
            </w:pPr>
          </w:p>
        </w:tc>
      </w:tr>
      <w:tr w:rsidR="003248BE" w:rsidRPr="00E13951" w14:paraId="7FE9CA23" w14:textId="77777777" w:rsidTr="00594818">
        <w:tc>
          <w:tcPr>
            <w:tcW w:w="9928" w:type="dxa"/>
            <w:gridSpan w:val="5"/>
            <w:tcBorders>
              <w:top w:val="nil"/>
              <w:left w:val="nil"/>
              <w:bottom w:val="single" w:sz="4" w:space="0" w:color="auto"/>
              <w:right w:val="nil"/>
            </w:tcBorders>
            <w:shd w:val="clear" w:color="auto" w:fill="DBE5F1" w:themeFill="accent1" w:themeFillTint="33"/>
          </w:tcPr>
          <w:p w14:paraId="5852EA0D" w14:textId="77777777" w:rsidR="003248BE" w:rsidRPr="00E13951" w:rsidRDefault="003248BE" w:rsidP="00594818">
            <w:pPr>
              <w:jc w:val="center"/>
              <w:rPr>
                <w:rFonts w:asciiTheme="minorHAnsi" w:hAnsiTheme="minorHAnsi" w:cstheme="minorHAnsi"/>
              </w:rPr>
            </w:pPr>
            <w:r w:rsidRPr="00E13951">
              <w:rPr>
                <w:rFonts w:asciiTheme="minorHAnsi" w:hAnsiTheme="minorHAnsi" w:cstheme="minorHAnsi"/>
                <w:b/>
                <w:bCs/>
              </w:rPr>
              <w:t>EXPECTED OUTPUT</w:t>
            </w:r>
          </w:p>
        </w:tc>
      </w:tr>
      <w:tr w:rsidR="003248BE" w:rsidRPr="00E13951" w14:paraId="3D3B2852" w14:textId="77777777" w:rsidTr="00594818">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46FCA39D" w14:textId="77777777" w:rsidR="003248BE" w:rsidRPr="00E13951" w:rsidRDefault="003248BE" w:rsidP="00594818">
            <w:pPr>
              <w:ind w:left="-813" w:firstLine="813"/>
              <w:rPr>
                <w:rFonts w:asciiTheme="minorHAnsi" w:hAnsiTheme="minorHAnsi" w:cstheme="minorHAnsi"/>
                <w:b/>
                <w:bCs/>
              </w:rPr>
            </w:pPr>
            <w:r w:rsidRPr="00E13951">
              <w:rPr>
                <w:rFonts w:asciiTheme="minorHAnsi" w:hAnsiTheme="minorHAnsi" w:cstheme="minorHAnsi"/>
                <w:b/>
                <w:bCs/>
              </w:rPr>
              <w:t>Deliverable(s)</w:t>
            </w:r>
          </w:p>
        </w:tc>
        <w:tc>
          <w:tcPr>
            <w:tcW w:w="2978" w:type="dxa"/>
            <w:tcBorders>
              <w:top w:val="single" w:sz="4" w:space="0" w:color="auto"/>
              <w:left w:val="nil"/>
              <w:bottom w:val="single" w:sz="4" w:space="0" w:color="auto"/>
              <w:right w:val="nil"/>
            </w:tcBorders>
            <w:shd w:val="clear" w:color="auto" w:fill="DBE5F1" w:themeFill="accent1" w:themeFillTint="33"/>
            <w:vAlign w:val="center"/>
          </w:tcPr>
          <w:p w14:paraId="651DA476" w14:textId="77777777" w:rsidR="003248BE" w:rsidRPr="00E13951" w:rsidRDefault="003248BE" w:rsidP="00594818">
            <w:pPr>
              <w:rPr>
                <w:rFonts w:asciiTheme="minorHAnsi" w:hAnsiTheme="minorHAnsi" w:cstheme="minorHAnsi"/>
                <w:b/>
                <w:bCs/>
              </w:rPr>
            </w:pPr>
            <w:r w:rsidRPr="00E13951">
              <w:rPr>
                <w:rFonts w:asciiTheme="minorHAnsi" w:hAnsiTheme="minorHAnsi" w:cstheme="minorHAnsi"/>
                <w:b/>
                <w:bCs/>
              </w:rPr>
              <w:t>Timeline</w:t>
            </w:r>
          </w:p>
        </w:tc>
      </w:tr>
      <w:tr w:rsidR="003248BE" w:rsidRPr="00E13951" w14:paraId="5B25C290" w14:textId="77777777" w:rsidTr="00594818">
        <w:tc>
          <w:tcPr>
            <w:tcW w:w="6950" w:type="dxa"/>
            <w:gridSpan w:val="4"/>
            <w:tcBorders>
              <w:top w:val="single" w:sz="4" w:space="0" w:color="auto"/>
              <w:left w:val="nil"/>
              <w:bottom w:val="nil"/>
              <w:right w:val="nil"/>
            </w:tcBorders>
            <w:shd w:val="clear" w:color="auto" w:fill="DBE5F1" w:themeFill="accent1" w:themeFillTint="33"/>
            <w:vAlign w:val="center"/>
          </w:tcPr>
          <w:p w14:paraId="2186A962" w14:textId="77777777" w:rsidR="003248BE" w:rsidRPr="00E13951" w:rsidRDefault="003248BE">
            <w:pPr>
              <w:pStyle w:val="ListParagraph"/>
              <w:numPr>
                <w:ilvl w:val="0"/>
                <w:numId w:val="20"/>
              </w:num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Short description</w:t>
            </w:r>
          </w:p>
        </w:tc>
        <w:tc>
          <w:tcPr>
            <w:tcW w:w="2978" w:type="dxa"/>
            <w:tcBorders>
              <w:top w:val="single" w:sz="4" w:space="0" w:color="auto"/>
              <w:left w:val="nil"/>
              <w:bottom w:val="nil"/>
              <w:right w:val="nil"/>
            </w:tcBorders>
            <w:shd w:val="clear" w:color="auto" w:fill="DBE5F1" w:themeFill="accent1" w:themeFillTint="33"/>
            <w:vAlign w:val="center"/>
          </w:tcPr>
          <w:p w14:paraId="461CD50A" w14:textId="77777777" w:rsidR="003248BE" w:rsidRPr="00E13951" w:rsidRDefault="003248BE">
            <w:pPr>
              <w:pStyle w:val="ListParagraph"/>
              <w:numPr>
                <w:ilvl w:val="0"/>
                <w:numId w:val="20"/>
              </w:numPr>
              <w:spacing w:before="53" w:after="53"/>
              <w:rPr>
                <w:rFonts w:asciiTheme="minorHAnsi" w:hAnsiTheme="minorHAnsi" w:cstheme="minorHAnsi"/>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Year/Quarter or ‘continuous action’</w:t>
            </w:r>
          </w:p>
        </w:tc>
      </w:tr>
      <w:tr w:rsidR="003248BE" w:rsidRPr="00E13951" w14:paraId="441AF712" w14:textId="77777777" w:rsidTr="00594818">
        <w:tc>
          <w:tcPr>
            <w:tcW w:w="9928" w:type="dxa"/>
            <w:gridSpan w:val="5"/>
            <w:tcBorders>
              <w:top w:val="nil"/>
              <w:left w:val="nil"/>
              <w:bottom w:val="nil"/>
              <w:right w:val="nil"/>
            </w:tcBorders>
            <w:shd w:val="clear" w:color="auto" w:fill="948A54" w:themeFill="background2" w:themeFillShade="80"/>
          </w:tcPr>
          <w:p w14:paraId="52A5F7A9" w14:textId="77777777" w:rsidR="003248BE" w:rsidRPr="00E13951" w:rsidRDefault="003248BE" w:rsidP="00594818">
            <w:pPr>
              <w:jc w:val="both"/>
              <w:rPr>
                <w:rFonts w:asciiTheme="minorHAnsi" w:hAnsiTheme="minorHAnsi" w:cstheme="minorHAnsi"/>
                <w:sz w:val="6"/>
                <w:szCs w:val="6"/>
              </w:rPr>
            </w:pPr>
          </w:p>
        </w:tc>
      </w:tr>
      <w:tr w:rsidR="003248BE" w:rsidRPr="00E13951" w14:paraId="67A31655" w14:textId="77777777" w:rsidTr="00594818">
        <w:tc>
          <w:tcPr>
            <w:tcW w:w="9928" w:type="dxa"/>
            <w:gridSpan w:val="5"/>
            <w:tcBorders>
              <w:left w:val="nil"/>
              <w:right w:val="nil"/>
            </w:tcBorders>
          </w:tcPr>
          <w:p w14:paraId="59853DDC" w14:textId="77777777" w:rsidR="003248BE" w:rsidRPr="00E13951" w:rsidRDefault="003248BE" w:rsidP="00594818">
            <w:pPr>
              <w:jc w:val="center"/>
              <w:rPr>
                <w:rFonts w:asciiTheme="minorHAnsi" w:hAnsiTheme="minorHAnsi" w:cstheme="minorHAnsi"/>
              </w:rPr>
            </w:pPr>
            <w:r w:rsidRPr="00E13951">
              <w:rPr>
                <w:rFonts w:asciiTheme="minorHAnsi" w:hAnsiTheme="minorHAnsi" w:cstheme="minorHAnsi"/>
                <w:b/>
                <w:bCs/>
              </w:rPr>
              <w:t>CHANGES SINCE LAST EDITION</w:t>
            </w:r>
          </w:p>
        </w:tc>
      </w:tr>
      <w:tr w:rsidR="003248BE" w:rsidRPr="00E13951" w14:paraId="73A29EBE" w14:textId="77777777" w:rsidTr="00594818">
        <w:tc>
          <w:tcPr>
            <w:tcW w:w="9928" w:type="dxa"/>
            <w:gridSpan w:val="5"/>
            <w:tcBorders>
              <w:left w:val="nil"/>
              <w:right w:val="nil"/>
            </w:tcBorders>
          </w:tcPr>
          <w:p w14:paraId="769CACEB" w14:textId="77777777" w:rsidR="003248BE" w:rsidRPr="00E13951" w:rsidRDefault="003248BE">
            <w:pPr>
              <w:pStyle w:val="ListParagraph"/>
              <w:numPr>
                <w:ilvl w:val="0"/>
                <w:numId w:val="20"/>
              </w:numPr>
              <w:spacing w:before="53" w:after="53"/>
              <w:rPr>
                <w:rFonts w:asciiTheme="minorHAnsi" w:hAnsiTheme="minorHAnsi" w:cstheme="minorHAnsi"/>
                <w:bCs/>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What changes were made compared to latest EUR RASP edition </w:t>
            </w:r>
          </w:p>
        </w:tc>
      </w:tr>
      <w:tr w:rsidR="003248BE" w:rsidRPr="00E13951" w14:paraId="585FF4A2" w14:textId="77777777" w:rsidTr="00594818">
        <w:tc>
          <w:tcPr>
            <w:tcW w:w="9928" w:type="dxa"/>
            <w:gridSpan w:val="5"/>
            <w:tcBorders>
              <w:top w:val="nil"/>
              <w:left w:val="nil"/>
              <w:bottom w:val="nil"/>
              <w:right w:val="nil"/>
            </w:tcBorders>
            <w:shd w:val="clear" w:color="auto" w:fill="948A54" w:themeFill="background2" w:themeFillShade="80"/>
          </w:tcPr>
          <w:p w14:paraId="40B0C41A" w14:textId="77777777" w:rsidR="003248BE" w:rsidRPr="00E13951" w:rsidRDefault="003248BE" w:rsidP="00594818">
            <w:pPr>
              <w:jc w:val="both"/>
              <w:rPr>
                <w:rFonts w:asciiTheme="minorHAnsi" w:hAnsiTheme="minorHAnsi" w:cstheme="minorHAnsi"/>
                <w:sz w:val="6"/>
                <w:szCs w:val="6"/>
              </w:rPr>
            </w:pPr>
          </w:p>
        </w:tc>
      </w:tr>
      <w:tr w:rsidR="003248BE" w:rsidRPr="00E13951" w14:paraId="4131E839" w14:textId="77777777" w:rsidTr="00594818">
        <w:tc>
          <w:tcPr>
            <w:tcW w:w="9928" w:type="dxa"/>
            <w:gridSpan w:val="5"/>
            <w:tcBorders>
              <w:top w:val="nil"/>
              <w:left w:val="nil"/>
              <w:bottom w:val="single" w:sz="4" w:space="0" w:color="auto"/>
              <w:right w:val="nil"/>
            </w:tcBorders>
            <w:shd w:val="clear" w:color="auto" w:fill="DBE5F1" w:themeFill="accent1" w:themeFillTint="33"/>
          </w:tcPr>
          <w:p w14:paraId="7438C6DC" w14:textId="77777777" w:rsidR="003248BE" w:rsidRPr="00E13951" w:rsidRDefault="003248BE" w:rsidP="00594818">
            <w:pPr>
              <w:jc w:val="center"/>
              <w:rPr>
                <w:rFonts w:asciiTheme="minorHAnsi" w:hAnsiTheme="minorHAnsi" w:cstheme="minorHAnsi"/>
              </w:rPr>
            </w:pPr>
            <w:r w:rsidRPr="00E13951">
              <w:rPr>
                <w:rFonts w:asciiTheme="minorHAnsi" w:hAnsiTheme="minorHAnsi" w:cstheme="minorHAnsi"/>
                <w:b/>
                <w:bCs/>
              </w:rPr>
              <w:t>MONITORING</w:t>
            </w:r>
          </w:p>
        </w:tc>
      </w:tr>
      <w:tr w:rsidR="003248BE" w:rsidRPr="00E13951" w14:paraId="0EEEE9CC" w14:textId="77777777" w:rsidTr="00594818">
        <w:tc>
          <w:tcPr>
            <w:tcW w:w="6950" w:type="dxa"/>
            <w:gridSpan w:val="4"/>
            <w:tcBorders>
              <w:top w:val="single" w:sz="4" w:space="0" w:color="auto"/>
              <w:left w:val="nil"/>
              <w:bottom w:val="single" w:sz="4" w:space="0" w:color="auto"/>
              <w:right w:val="nil"/>
            </w:tcBorders>
            <w:shd w:val="clear" w:color="auto" w:fill="DBE5F1" w:themeFill="accent1" w:themeFillTint="33"/>
            <w:vAlign w:val="center"/>
          </w:tcPr>
          <w:p w14:paraId="32A6A7C0" w14:textId="77777777" w:rsidR="003248BE" w:rsidRPr="00E13951" w:rsidRDefault="003248BE" w:rsidP="00594818">
            <w:pPr>
              <w:ind w:left="-813" w:firstLine="813"/>
              <w:rPr>
                <w:rFonts w:asciiTheme="minorHAnsi" w:hAnsiTheme="minorHAnsi" w:cstheme="minorHAnsi"/>
                <w:b/>
                <w:bCs/>
              </w:rPr>
            </w:pPr>
            <w:r w:rsidRPr="00E13951">
              <w:rPr>
                <w:rFonts w:asciiTheme="minorHAnsi" w:hAnsiTheme="minorHAnsi" w:cstheme="minorHAnsi"/>
                <w:b/>
                <w:bCs/>
              </w:rPr>
              <w:t>Monitoring activities</w:t>
            </w:r>
          </w:p>
        </w:tc>
        <w:tc>
          <w:tcPr>
            <w:tcW w:w="2978" w:type="dxa"/>
            <w:tcBorders>
              <w:top w:val="single" w:sz="4" w:space="0" w:color="auto"/>
              <w:left w:val="nil"/>
              <w:bottom w:val="single" w:sz="4" w:space="0" w:color="auto"/>
              <w:right w:val="nil"/>
            </w:tcBorders>
            <w:shd w:val="clear" w:color="auto" w:fill="DBE5F1" w:themeFill="accent1" w:themeFillTint="33"/>
            <w:vAlign w:val="center"/>
          </w:tcPr>
          <w:p w14:paraId="3E7E50CF" w14:textId="77777777" w:rsidR="003248BE" w:rsidRPr="00E13951" w:rsidRDefault="003248BE" w:rsidP="00594818">
            <w:pPr>
              <w:rPr>
                <w:rFonts w:asciiTheme="minorHAnsi" w:hAnsiTheme="minorHAnsi" w:cstheme="minorHAnsi"/>
                <w:b/>
                <w:bCs/>
              </w:rPr>
            </w:pPr>
            <w:r w:rsidRPr="00E13951">
              <w:rPr>
                <w:rFonts w:asciiTheme="minorHAnsi" w:hAnsiTheme="minorHAnsi" w:cstheme="minorHAnsi"/>
                <w:b/>
                <w:bCs/>
              </w:rPr>
              <w:t>Related SPIs</w:t>
            </w:r>
          </w:p>
        </w:tc>
      </w:tr>
      <w:tr w:rsidR="003248BE" w:rsidRPr="00E13951" w14:paraId="61F7C8AD" w14:textId="77777777" w:rsidTr="00594818">
        <w:tc>
          <w:tcPr>
            <w:tcW w:w="6950" w:type="dxa"/>
            <w:gridSpan w:val="4"/>
            <w:tcBorders>
              <w:top w:val="single" w:sz="4" w:space="0" w:color="auto"/>
              <w:left w:val="nil"/>
              <w:bottom w:val="nil"/>
              <w:right w:val="nil"/>
            </w:tcBorders>
            <w:shd w:val="clear" w:color="auto" w:fill="DBE5F1" w:themeFill="accent1" w:themeFillTint="33"/>
            <w:vAlign w:val="center"/>
          </w:tcPr>
          <w:p w14:paraId="7E8BED5B" w14:textId="77777777" w:rsidR="003248BE" w:rsidRPr="00E13951" w:rsidRDefault="003248BE">
            <w:pPr>
              <w:pStyle w:val="ListParagraph"/>
              <w:numPr>
                <w:ilvl w:val="0"/>
                <w:numId w:val="20"/>
              </w:numPr>
              <w:jc w:val="both"/>
              <w:rPr>
                <w:rFonts w:asciiTheme="minorHAnsi" w:hAnsiTheme="minorHAnsi" w:cstheme="minorHAnsi"/>
                <w:i/>
                <w:sz w:val="16"/>
                <w:szCs w:val="16"/>
                <w14:shadow w14:blurRad="63500" w14:dist="50800" w14:dir="10800000" w14:sx="0" w14:sy="0" w14:kx="0" w14:ky="0" w14:algn="none">
                  <w14:srgbClr w14:val="000000">
                    <w14:alpha w14:val="50000"/>
                  </w14:srgbClr>
                </w14:shadow>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Short description</w:t>
            </w:r>
            <w:r w:rsidRPr="00E13951" w:rsidDel="00F06864">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 </w:t>
            </w:r>
          </w:p>
        </w:tc>
        <w:tc>
          <w:tcPr>
            <w:tcW w:w="2978" w:type="dxa"/>
            <w:tcBorders>
              <w:top w:val="single" w:sz="4" w:space="0" w:color="auto"/>
              <w:left w:val="nil"/>
              <w:bottom w:val="nil"/>
              <w:right w:val="nil"/>
            </w:tcBorders>
            <w:shd w:val="clear" w:color="auto" w:fill="DBE5F1" w:themeFill="accent1" w:themeFillTint="33"/>
            <w:vAlign w:val="center"/>
          </w:tcPr>
          <w:p w14:paraId="591DA961" w14:textId="77777777" w:rsidR="003248BE" w:rsidRPr="00E13951" w:rsidRDefault="003248BE">
            <w:pPr>
              <w:pStyle w:val="ListParagraph"/>
              <w:numPr>
                <w:ilvl w:val="0"/>
                <w:numId w:val="20"/>
              </w:numPr>
              <w:spacing w:before="53" w:after="53"/>
              <w:rPr>
                <w:rFonts w:asciiTheme="minorHAnsi" w:hAnsiTheme="minorHAnsi" w:cstheme="minorHAnsi"/>
              </w:rPr>
            </w:pPr>
            <w:r w:rsidRPr="00E13951">
              <w:rPr>
                <w:rFonts w:asciiTheme="minorHAnsi" w:hAnsiTheme="minorHAnsi" w:cstheme="minorHAnsi"/>
                <w:i/>
                <w:sz w:val="16"/>
                <w:szCs w:val="16"/>
                <w14:shadow w14:blurRad="63500" w14:dist="50800" w14:dir="10800000" w14:sx="0" w14:sy="0" w14:kx="0" w14:ky="0" w14:algn="none">
                  <w14:srgbClr w14:val="000000">
                    <w14:alpha w14:val="50000"/>
                  </w14:srgbClr>
                </w14:shadow>
              </w:rPr>
              <w:t xml:space="preserve">SPI reference </w:t>
            </w:r>
          </w:p>
        </w:tc>
      </w:tr>
      <w:tr w:rsidR="003248BE" w:rsidRPr="00E13951" w14:paraId="4D36B7B4" w14:textId="77777777" w:rsidTr="00594818">
        <w:tc>
          <w:tcPr>
            <w:tcW w:w="9928" w:type="dxa"/>
            <w:gridSpan w:val="5"/>
            <w:tcBorders>
              <w:top w:val="nil"/>
              <w:left w:val="nil"/>
              <w:bottom w:val="nil"/>
              <w:right w:val="nil"/>
            </w:tcBorders>
            <w:shd w:val="clear" w:color="auto" w:fill="948A54" w:themeFill="background2" w:themeFillShade="80"/>
          </w:tcPr>
          <w:p w14:paraId="79DA77E6" w14:textId="77777777" w:rsidR="003248BE" w:rsidRPr="00E13951" w:rsidRDefault="003248BE" w:rsidP="00594818">
            <w:pPr>
              <w:jc w:val="both"/>
              <w:rPr>
                <w:rFonts w:asciiTheme="minorHAnsi" w:hAnsiTheme="minorHAnsi" w:cstheme="minorHAnsi"/>
                <w:sz w:val="6"/>
                <w:szCs w:val="6"/>
              </w:rPr>
            </w:pPr>
          </w:p>
        </w:tc>
      </w:tr>
    </w:tbl>
    <w:p w14:paraId="473245B0" w14:textId="77777777" w:rsidR="003248BE" w:rsidRPr="00E13951" w:rsidRDefault="003248BE" w:rsidP="003248BE">
      <w:pPr>
        <w:autoSpaceDE w:val="0"/>
        <w:autoSpaceDN w:val="0"/>
        <w:adjustRightInd w:val="0"/>
        <w:rPr>
          <w:rFonts w:asciiTheme="minorHAnsi" w:hAnsiTheme="minorHAnsi" w:cstheme="minorHAnsi"/>
          <w:sz w:val="22"/>
          <w:szCs w:val="22"/>
        </w:rPr>
      </w:pPr>
    </w:p>
    <w:p w14:paraId="6EA84DD9" w14:textId="77777777" w:rsidR="003248BE" w:rsidRPr="00E13951" w:rsidRDefault="003248BE" w:rsidP="003248BE">
      <w:pPr>
        <w:autoSpaceDE w:val="0"/>
        <w:autoSpaceDN w:val="0"/>
        <w:adjustRightInd w:val="0"/>
        <w:jc w:val="both"/>
        <w:rPr>
          <w:rFonts w:asciiTheme="minorHAnsi" w:hAnsiTheme="minorHAnsi" w:cstheme="minorHAnsi"/>
          <w:sz w:val="22"/>
          <w:szCs w:val="22"/>
        </w:rPr>
      </w:pPr>
      <w:r w:rsidRPr="00E13951">
        <w:rPr>
          <w:rFonts w:asciiTheme="minorHAnsi" w:hAnsiTheme="minorHAnsi" w:cstheme="minorHAnsi"/>
          <w:sz w:val="22"/>
          <w:szCs w:val="22"/>
        </w:rPr>
        <w:t xml:space="preserve">Each EUR RASP safety action is identified with a unique reference and title. </w:t>
      </w:r>
    </w:p>
    <w:p w14:paraId="49BF60AA" w14:textId="77777777" w:rsidR="003248BE" w:rsidRPr="00E13951" w:rsidRDefault="003248BE" w:rsidP="003248BE">
      <w:pPr>
        <w:pStyle w:val="BodyText1"/>
        <w:spacing w:before="120" w:after="120"/>
        <w:rPr>
          <w:rFonts w:asciiTheme="minorHAnsi" w:hAnsiTheme="minorHAnsi" w:cstheme="minorHAnsi"/>
          <w:szCs w:val="22"/>
        </w:rPr>
      </w:pPr>
      <w:r w:rsidRPr="00E13951">
        <w:rPr>
          <w:rFonts w:asciiTheme="minorHAnsi" w:hAnsiTheme="minorHAnsi" w:cstheme="minorHAnsi"/>
          <w:szCs w:val="22"/>
        </w:rPr>
        <w:t xml:space="preserve">The action unique reference - </w:t>
      </w:r>
      <w:r w:rsidRPr="00E13951">
        <w:rPr>
          <w:rFonts w:asciiTheme="minorHAnsi" w:hAnsiTheme="minorHAnsi" w:cstheme="minorHAnsi"/>
          <w:b/>
          <w:szCs w:val="22"/>
        </w:rPr>
        <w:t>EUR.TTT.nnnn</w:t>
      </w:r>
      <w:r w:rsidRPr="00E13951">
        <w:rPr>
          <w:rFonts w:asciiTheme="minorHAnsi" w:hAnsiTheme="minorHAnsi" w:cstheme="minorHAnsi"/>
          <w:szCs w:val="22"/>
        </w:rPr>
        <w:t xml:space="preserve"> – contains the following information:</w:t>
      </w:r>
    </w:p>
    <w:p w14:paraId="4DEC23B6" w14:textId="77777777" w:rsidR="003248BE" w:rsidRPr="00E13951" w:rsidRDefault="003248BE" w:rsidP="003248BE">
      <w:pPr>
        <w:pStyle w:val="BodyText1"/>
        <w:numPr>
          <w:ilvl w:val="0"/>
          <w:numId w:val="13"/>
        </w:numPr>
        <w:spacing w:before="120" w:after="120"/>
        <w:rPr>
          <w:rFonts w:asciiTheme="minorHAnsi" w:hAnsiTheme="minorHAnsi" w:cstheme="minorHAnsi"/>
          <w:szCs w:val="22"/>
        </w:rPr>
      </w:pPr>
      <w:r w:rsidRPr="00E13951">
        <w:rPr>
          <w:rFonts w:asciiTheme="minorHAnsi" w:hAnsiTheme="minorHAnsi" w:cstheme="minorHAnsi"/>
          <w:szCs w:val="22"/>
        </w:rPr>
        <w:t>EUR - actions pertaining to EUR Region</w:t>
      </w:r>
    </w:p>
    <w:p w14:paraId="7722E1AB" w14:textId="299112FF" w:rsidR="003248BE" w:rsidRPr="00E13951" w:rsidRDefault="003248BE" w:rsidP="003248BE">
      <w:pPr>
        <w:pStyle w:val="BodyText1"/>
        <w:numPr>
          <w:ilvl w:val="0"/>
          <w:numId w:val="13"/>
        </w:numPr>
        <w:spacing w:before="120" w:after="120"/>
        <w:rPr>
          <w:rFonts w:asciiTheme="minorHAnsi" w:hAnsiTheme="minorHAnsi" w:cstheme="minorHAnsi"/>
          <w:szCs w:val="22"/>
        </w:rPr>
      </w:pPr>
      <w:r w:rsidRPr="00E13951">
        <w:rPr>
          <w:rFonts w:asciiTheme="minorHAnsi" w:hAnsiTheme="minorHAnsi" w:cstheme="minorHAnsi"/>
          <w:szCs w:val="22"/>
        </w:rPr>
        <w:t>TTT - provides the type of action, either ‘RMT’</w:t>
      </w:r>
      <w:r w:rsidR="00D06B8C">
        <w:rPr>
          <w:rFonts w:asciiTheme="minorHAnsi" w:hAnsiTheme="minorHAnsi" w:cstheme="minorHAnsi"/>
          <w:szCs w:val="22"/>
        </w:rPr>
        <w:t>, ‘SMT’</w:t>
      </w:r>
      <w:r w:rsidRPr="00E13951">
        <w:rPr>
          <w:rFonts w:asciiTheme="minorHAnsi" w:hAnsiTheme="minorHAnsi" w:cstheme="minorHAnsi"/>
          <w:szCs w:val="22"/>
        </w:rPr>
        <w:t xml:space="preserve"> or ‘SPT’, in reference to the corresponding </w:t>
      </w:r>
      <w:r w:rsidR="00447B42">
        <w:rPr>
          <w:rFonts w:asciiTheme="minorHAnsi" w:hAnsiTheme="minorHAnsi" w:cstheme="minorHAnsi"/>
          <w:szCs w:val="22"/>
        </w:rPr>
        <w:t>EUR RASP</w:t>
      </w:r>
      <w:r w:rsidRPr="00E13951">
        <w:rPr>
          <w:rFonts w:asciiTheme="minorHAnsi" w:hAnsiTheme="minorHAnsi" w:cstheme="minorHAnsi"/>
          <w:szCs w:val="22"/>
        </w:rPr>
        <w:t xml:space="preserve"> type of action</w:t>
      </w:r>
    </w:p>
    <w:p w14:paraId="1038542F" w14:textId="264A63B9" w:rsidR="003248BE" w:rsidRPr="00E13951" w:rsidRDefault="003248BE" w:rsidP="003248BE">
      <w:pPr>
        <w:pStyle w:val="BodyText1"/>
        <w:numPr>
          <w:ilvl w:val="0"/>
          <w:numId w:val="13"/>
        </w:numPr>
        <w:spacing w:before="120" w:after="120"/>
        <w:rPr>
          <w:rFonts w:asciiTheme="minorHAnsi" w:hAnsiTheme="minorHAnsi" w:cstheme="minorHAnsi"/>
          <w:szCs w:val="22"/>
        </w:rPr>
      </w:pPr>
      <w:r w:rsidRPr="00E13951">
        <w:rPr>
          <w:rFonts w:asciiTheme="minorHAnsi" w:hAnsiTheme="minorHAnsi" w:cstheme="minorHAnsi"/>
          <w:szCs w:val="22"/>
        </w:rPr>
        <w:t xml:space="preserve">nnnn </w:t>
      </w:r>
      <w:r w:rsidR="00F72EF8">
        <w:rPr>
          <w:rFonts w:asciiTheme="minorHAnsi" w:hAnsiTheme="minorHAnsi" w:cstheme="minorHAnsi"/>
          <w:szCs w:val="22"/>
        </w:rPr>
        <w:t>-</w:t>
      </w:r>
      <w:r w:rsidRPr="00E13951">
        <w:rPr>
          <w:rFonts w:asciiTheme="minorHAnsi" w:hAnsiTheme="minorHAnsi" w:cstheme="minorHAnsi"/>
          <w:szCs w:val="22"/>
        </w:rPr>
        <w:t xml:space="preserve"> the final number of the EUR RASP action. </w:t>
      </w:r>
    </w:p>
    <w:p w14:paraId="5C025AAD" w14:textId="1A3AFD0C" w:rsidR="003248BE" w:rsidRPr="00E13951" w:rsidRDefault="003248BE" w:rsidP="003248BE">
      <w:pPr>
        <w:pStyle w:val="BodyText1"/>
        <w:spacing w:before="120" w:after="120"/>
        <w:rPr>
          <w:rFonts w:asciiTheme="minorHAnsi" w:hAnsiTheme="minorHAnsi" w:cstheme="minorHAnsi"/>
          <w:szCs w:val="22"/>
        </w:rPr>
      </w:pPr>
      <w:r w:rsidRPr="00E13951">
        <w:rPr>
          <w:rFonts w:asciiTheme="minorHAnsi" w:hAnsiTheme="minorHAnsi" w:cstheme="minorHAnsi"/>
          <w:szCs w:val="22"/>
          <w:u w:val="single"/>
        </w:rPr>
        <w:t>Note 1</w:t>
      </w:r>
      <w:r w:rsidRPr="00E13951">
        <w:rPr>
          <w:rFonts w:asciiTheme="minorHAnsi" w:hAnsiTheme="minorHAnsi" w:cstheme="minorHAnsi"/>
          <w:szCs w:val="22"/>
        </w:rPr>
        <w:t xml:space="preserve">:  Only ‘RMT’, ‘SPT’ and ‘MST’ EPAS actions are considered for the EUR RASP. Relevant EPAS Member State Tasks (MSTs) are usually included as EUR RASP </w:t>
      </w:r>
      <w:r w:rsidR="0033481A">
        <w:rPr>
          <w:rFonts w:asciiTheme="minorHAnsi" w:hAnsiTheme="minorHAnsi" w:cstheme="minorHAnsi"/>
          <w:szCs w:val="22"/>
        </w:rPr>
        <w:t>SM</w:t>
      </w:r>
      <w:r w:rsidRPr="00E13951">
        <w:rPr>
          <w:rFonts w:asciiTheme="minorHAnsi" w:hAnsiTheme="minorHAnsi" w:cstheme="minorHAnsi"/>
          <w:szCs w:val="22"/>
        </w:rPr>
        <w:t>T actions.</w:t>
      </w:r>
    </w:p>
    <w:p w14:paraId="615D8340" w14:textId="77777777" w:rsidR="003248BE" w:rsidRPr="00E13951" w:rsidRDefault="003248BE" w:rsidP="003248BE">
      <w:pPr>
        <w:pStyle w:val="BodyText1"/>
        <w:numPr>
          <w:ilvl w:val="0"/>
          <w:numId w:val="13"/>
        </w:numPr>
        <w:spacing w:before="120" w:after="120"/>
        <w:rPr>
          <w:rFonts w:asciiTheme="minorHAnsi" w:hAnsiTheme="minorHAnsi" w:cstheme="minorHAnsi"/>
          <w:szCs w:val="22"/>
        </w:rPr>
      </w:pPr>
      <w:r w:rsidRPr="00E13951">
        <w:rPr>
          <w:rFonts w:asciiTheme="minorHAnsi" w:hAnsiTheme="minorHAnsi" w:cstheme="minorHAnsi"/>
          <w:szCs w:val="22"/>
        </w:rPr>
        <w:t>nnnn will be the unique reference number, allocated in chronological order of actions being added to the EUR-RASP.</w:t>
      </w:r>
    </w:p>
    <w:p w14:paraId="5B81175F" w14:textId="77777777" w:rsidR="003248BE" w:rsidRPr="00E13951" w:rsidRDefault="003248BE" w:rsidP="003248BE">
      <w:pPr>
        <w:pStyle w:val="BodyText1"/>
        <w:spacing w:before="120" w:after="120"/>
        <w:rPr>
          <w:rFonts w:asciiTheme="minorHAnsi" w:hAnsiTheme="minorHAnsi" w:cstheme="minorHAnsi"/>
          <w:szCs w:val="22"/>
        </w:rPr>
      </w:pPr>
      <w:r w:rsidRPr="00E13951">
        <w:rPr>
          <w:rFonts w:asciiTheme="minorHAnsi" w:hAnsiTheme="minorHAnsi" w:cstheme="minorHAnsi"/>
          <w:szCs w:val="22"/>
          <w:u w:val="single"/>
        </w:rPr>
        <w:t>Note 2:</w:t>
      </w:r>
      <w:r w:rsidRPr="00E13951">
        <w:rPr>
          <w:rFonts w:asciiTheme="minorHAnsi" w:hAnsiTheme="minorHAnsi" w:cstheme="minorHAnsi"/>
          <w:szCs w:val="22"/>
        </w:rPr>
        <w:t xml:space="preserve"> The MS©Excel support file will be maintained across the EUR RASP editions to show references between EUR RASP actions and corresponding EPAS actions.  It will be made available upon request. </w:t>
      </w:r>
    </w:p>
    <w:p w14:paraId="026A91A6" w14:textId="77777777" w:rsidR="003248BE" w:rsidRPr="00631EF6" w:rsidRDefault="003248BE" w:rsidP="003248BE">
      <w:pPr>
        <w:autoSpaceDE w:val="0"/>
        <w:autoSpaceDN w:val="0"/>
        <w:adjustRightInd w:val="0"/>
        <w:jc w:val="both"/>
        <w:rPr>
          <w:rFonts w:ascii="Calibri" w:hAnsi="Calibri" w:cs="Calibri"/>
          <w:sz w:val="22"/>
          <w:szCs w:val="22"/>
        </w:rPr>
      </w:pPr>
    </w:p>
    <w:p w14:paraId="4DC9456A" w14:textId="77777777" w:rsidR="003248BE" w:rsidRPr="00631EF6" w:rsidRDefault="003248BE" w:rsidP="003248BE">
      <w:pPr>
        <w:autoSpaceDE w:val="0"/>
        <w:autoSpaceDN w:val="0"/>
        <w:adjustRightInd w:val="0"/>
        <w:jc w:val="both"/>
        <w:rPr>
          <w:rFonts w:ascii="Calibri" w:hAnsi="Calibri" w:cs="Calibri"/>
          <w:sz w:val="22"/>
          <w:szCs w:val="22"/>
        </w:rPr>
      </w:pPr>
      <w:r w:rsidRPr="00631EF6">
        <w:rPr>
          <w:rFonts w:ascii="Calibri" w:hAnsi="Calibri" w:cs="Calibri"/>
          <w:sz w:val="22"/>
          <w:szCs w:val="22"/>
        </w:rPr>
        <w:t>More information is provided, as follows:</w:t>
      </w:r>
    </w:p>
    <w:p w14:paraId="3D78E0C1" w14:textId="77777777" w:rsidR="003248BE" w:rsidRPr="00631EF6" w:rsidRDefault="003248BE" w:rsidP="003248BE">
      <w:pPr>
        <w:autoSpaceDE w:val="0"/>
        <w:autoSpaceDN w:val="0"/>
        <w:adjustRightInd w:val="0"/>
        <w:jc w:val="both"/>
        <w:rPr>
          <w:rFonts w:ascii="Calibri" w:hAnsi="Calibri" w:cs="Calibri"/>
          <w:sz w:val="22"/>
          <w:szCs w:val="22"/>
        </w:rPr>
      </w:pPr>
    </w:p>
    <w:p w14:paraId="61531F82" w14:textId="77777777" w:rsidR="003248BE" w:rsidRPr="00631EF6" w:rsidRDefault="003248BE" w:rsidP="003248BE">
      <w:pPr>
        <w:autoSpaceDE w:val="0"/>
        <w:autoSpaceDN w:val="0"/>
        <w:adjustRightInd w:val="0"/>
        <w:rPr>
          <w:rFonts w:ascii="Calibri" w:hAnsi="Calibri" w:cs="Calibri"/>
          <w:sz w:val="22"/>
          <w:szCs w:val="22"/>
        </w:rPr>
      </w:pPr>
      <w:r w:rsidRPr="00761604">
        <w:rPr>
          <w:rFonts w:ascii="Calibri" w:hAnsi="Calibri" w:cs="Calibri"/>
          <w:color w:val="C00000"/>
          <w:sz w:val="22"/>
          <w:szCs w:val="22"/>
        </w:rPr>
        <w:t>(1</w:t>
      </w:r>
      <w:r w:rsidRPr="00BB54B3">
        <w:rPr>
          <w:rFonts w:ascii="Calibri" w:hAnsi="Calibri" w:cs="Calibri"/>
          <w:color w:val="C00000"/>
          <w:sz w:val="22"/>
          <w:szCs w:val="22"/>
        </w:rPr>
        <w:t xml:space="preserve">) </w:t>
      </w:r>
      <w:r w:rsidRPr="00631EF6">
        <w:rPr>
          <w:rFonts w:ascii="Calibri" w:hAnsi="Calibri" w:cs="Calibri"/>
          <w:sz w:val="22"/>
          <w:szCs w:val="22"/>
        </w:rPr>
        <w:t>‘Short action description’: the issue, objective and rationale are described.</w:t>
      </w:r>
    </w:p>
    <w:p w14:paraId="4CEC9E6F" w14:textId="77777777" w:rsidR="003248BE" w:rsidRPr="00631EF6" w:rsidRDefault="003248BE" w:rsidP="003248BE">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 xml:space="preserve">(2) </w:t>
      </w:r>
      <w:r w:rsidRPr="00631EF6">
        <w:rPr>
          <w:rFonts w:ascii="Calibri" w:hAnsi="Calibri" w:cs="Calibri"/>
          <w:sz w:val="22"/>
          <w:szCs w:val="22"/>
        </w:rPr>
        <w:t>‘Status’: new or ongoing.</w:t>
      </w:r>
    </w:p>
    <w:p w14:paraId="2C86EADB" w14:textId="77777777" w:rsidR="003248BE" w:rsidRPr="00631EF6" w:rsidRDefault="003248BE" w:rsidP="003248BE">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w:t>
      </w:r>
      <w:r>
        <w:rPr>
          <w:rFonts w:ascii="Calibri" w:hAnsi="Calibri" w:cs="Calibri"/>
          <w:color w:val="C00000"/>
          <w:sz w:val="22"/>
          <w:szCs w:val="22"/>
        </w:rPr>
        <w:t>3</w:t>
      </w:r>
      <w:r w:rsidRPr="00BB54B3">
        <w:rPr>
          <w:rFonts w:ascii="Calibri" w:hAnsi="Calibri" w:cs="Calibri"/>
          <w:color w:val="C00000"/>
          <w:sz w:val="22"/>
          <w:szCs w:val="22"/>
        </w:rPr>
        <w:t xml:space="preserve">) </w:t>
      </w:r>
      <w:r w:rsidRPr="00631EF6">
        <w:rPr>
          <w:rFonts w:ascii="Calibri" w:hAnsi="Calibri" w:cs="Calibri"/>
          <w:sz w:val="22"/>
          <w:szCs w:val="22"/>
        </w:rPr>
        <w:t>‘Reference(s)’: related actions in other plans (e.g. ATM Master Plan, GASP) or other important reference</w:t>
      </w:r>
    </w:p>
    <w:p w14:paraId="4EECA7ED" w14:textId="77777777" w:rsidR="003248BE" w:rsidRPr="00631EF6" w:rsidRDefault="003248BE" w:rsidP="003248BE">
      <w:pPr>
        <w:pStyle w:val="Standardtext"/>
      </w:pPr>
      <w:r w:rsidRPr="00631EF6">
        <w:t xml:space="preserve">documents, including Safety Recommendations (SRs), where </w:t>
      </w:r>
      <w:proofErr w:type="gramStart"/>
      <w:r w:rsidRPr="00631EF6">
        <w:t>relevant;</w:t>
      </w:r>
      <w:proofErr w:type="gramEnd"/>
    </w:p>
    <w:p w14:paraId="67F31D2A" w14:textId="77777777" w:rsidR="003248BE" w:rsidRPr="002D195C" w:rsidRDefault="003248BE" w:rsidP="003248BE">
      <w:pPr>
        <w:autoSpaceDE w:val="0"/>
        <w:autoSpaceDN w:val="0"/>
        <w:adjustRightInd w:val="0"/>
        <w:rPr>
          <w:rFonts w:ascii="Calibri" w:hAnsi="Calibri" w:cs="Calibri"/>
          <w:sz w:val="22"/>
          <w:szCs w:val="22"/>
        </w:rPr>
      </w:pPr>
      <w:r w:rsidRPr="002D195C">
        <w:rPr>
          <w:rFonts w:ascii="Calibri" w:hAnsi="Calibri" w:cs="Calibri"/>
          <w:color w:val="C00000"/>
          <w:sz w:val="22"/>
          <w:szCs w:val="22"/>
        </w:rPr>
        <w:t>(4)</w:t>
      </w:r>
      <w:r>
        <w:rPr>
          <w:rFonts w:ascii="Calibri" w:hAnsi="Calibri" w:cs="Calibri"/>
          <w:sz w:val="22"/>
          <w:szCs w:val="22"/>
        </w:rPr>
        <w:t xml:space="preserve"> </w:t>
      </w:r>
      <w:r w:rsidRPr="002D195C">
        <w:rPr>
          <w:rFonts w:ascii="Calibri" w:hAnsi="Calibri" w:cs="Calibri"/>
          <w:sz w:val="22"/>
          <w:szCs w:val="22"/>
        </w:rPr>
        <w:t xml:space="preserve">‘Dependencies’: may contain the following information: </w:t>
      </w:r>
    </w:p>
    <w:p w14:paraId="74B2CDF0" w14:textId="77777777" w:rsidR="003248BE" w:rsidRPr="00631EF6" w:rsidRDefault="003248BE">
      <w:pPr>
        <w:pStyle w:val="ListParagraph"/>
        <w:numPr>
          <w:ilvl w:val="0"/>
          <w:numId w:val="19"/>
        </w:numPr>
        <w:rPr>
          <w:rFonts w:asciiTheme="minorHAnsi" w:hAnsiTheme="minorHAnsi" w:cstheme="minorHAnsi"/>
          <w:sz w:val="22"/>
          <w:szCs w:val="22"/>
        </w:rPr>
      </w:pPr>
      <w:r w:rsidRPr="00631EF6">
        <w:rPr>
          <w:rFonts w:asciiTheme="minorHAnsi" w:hAnsiTheme="minorHAnsi" w:cstheme="minorHAnsi"/>
          <w:sz w:val="22"/>
          <w:szCs w:val="22"/>
        </w:rPr>
        <w:t>GASP Goal 1-6</w:t>
      </w:r>
    </w:p>
    <w:p w14:paraId="0A936FCB" w14:textId="77777777" w:rsidR="003248BE" w:rsidRPr="00631EF6" w:rsidRDefault="003248BE">
      <w:pPr>
        <w:pStyle w:val="ListParagraph"/>
        <w:numPr>
          <w:ilvl w:val="0"/>
          <w:numId w:val="19"/>
        </w:numPr>
        <w:rPr>
          <w:rFonts w:asciiTheme="minorHAnsi" w:hAnsiTheme="minorHAnsi" w:cstheme="minorHAnsi"/>
          <w:sz w:val="22"/>
          <w:szCs w:val="22"/>
        </w:rPr>
      </w:pPr>
      <w:r w:rsidRPr="00BB54B3">
        <w:rPr>
          <w:rFonts w:asciiTheme="minorHAnsi" w:hAnsiTheme="minorHAnsi" w:cstheme="minorHAnsi"/>
          <w:sz w:val="22"/>
          <w:szCs w:val="22"/>
        </w:rPr>
        <w:t xml:space="preserve">EPAS action reference </w:t>
      </w:r>
      <w:r w:rsidRPr="00631EF6">
        <w:rPr>
          <w:rFonts w:asciiTheme="minorHAnsi" w:hAnsiTheme="minorHAnsi" w:cstheme="minorHAnsi"/>
          <w:sz w:val="22"/>
          <w:szCs w:val="22"/>
        </w:rPr>
        <w:t>number</w:t>
      </w:r>
    </w:p>
    <w:p w14:paraId="55347F1C" w14:textId="6328CD0E" w:rsidR="003248BE" w:rsidRDefault="003248BE">
      <w:pPr>
        <w:pStyle w:val="ListParagraph"/>
        <w:numPr>
          <w:ilvl w:val="0"/>
          <w:numId w:val="19"/>
        </w:numPr>
        <w:rPr>
          <w:rFonts w:asciiTheme="minorHAnsi" w:hAnsiTheme="minorHAnsi" w:cstheme="minorHAnsi"/>
          <w:i/>
          <w:sz w:val="22"/>
          <w:szCs w:val="22"/>
          <w14:shadow w14:blurRad="63500" w14:dist="50800" w14:dir="10800000" w14:sx="0" w14:sy="0" w14:kx="0" w14:ky="0" w14:algn="none">
            <w14:srgbClr w14:val="000000">
              <w14:alpha w14:val="50000"/>
            </w14:srgbClr>
          </w14:shadow>
        </w:rPr>
      </w:pPr>
      <w:r w:rsidRPr="00631EF6">
        <w:rPr>
          <w:rFonts w:asciiTheme="minorHAnsi" w:hAnsiTheme="minorHAnsi" w:cstheme="minorHAnsi"/>
          <w:sz w:val="22"/>
          <w:szCs w:val="22"/>
        </w:rPr>
        <w:lastRenderedPageBreak/>
        <w:t>Reference to corresponding GASP SEIs</w:t>
      </w:r>
      <w:r>
        <w:rPr>
          <w:rFonts w:asciiTheme="minorHAnsi" w:hAnsiTheme="minorHAnsi" w:cstheme="minorHAnsi"/>
          <w:sz w:val="22"/>
          <w:szCs w:val="22"/>
        </w:rPr>
        <w:t xml:space="preserve">, other relevant EUR RASP </w:t>
      </w:r>
      <w:r w:rsidRPr="0005320F">
        <w:rPr>
          <w:rFonts w:asciiTheme="minorHAnsi" w:hAnsiTheme="minorHAnsi" w:cstheme="minorHAnsi"/>
          <w:sz w:val="22"/>
          <w:szCs w:val="22"/>
        </w:rPr>
        <w:t>actions, relevant IE-REST SEIs and</w:t>
      </w:r>
      <w:r w:rsidRPr="00631EF6">
        <w:rPr>
          <w:rFonts w:asciiTheme="minorHAnsi" w:hAnsiTheme="minorHAnsi" w:cstheme="minorHAnsi"/>
          <w:sz w:val="22"/>
          <w:szCs w:val="22"/>
        </w:rPr>
        <w:t xml:space="preserve"> </w:t>
      </w:r>
      <w:r>
        <w:rPr>
          <w:rFonts w:asciiTheme="minorHAnsi" w:hAnsiTheme="minorHAnsi" w:cstheme="minorHAnsi"/>
          <w:sz w:val="22"/>
          <w:szCs w:val="22"/>
        </w:rPr>
        <w:t xml:space="preserve">their </w:t>
      </w:r>
      <w:r w:rsidRPr="00631EF6">
        <w:rPr>
          <w:rFonts w:asciiTheme="minorHAnsi" w:hAnsiTheme="minorHAnsi" w:cstheme="minorHAnsi"/>
          <w:sz w:val="22"/>
          <w:szCs w:val="22"/>
        </w:rPr>
        <w:t>description</w:t>
      </w:r>
      <w:r w:rsidRPr="00631EF6">
        <w:rPr>
          <w:rFonts w:asciiTheme="minorHAnsi" w:hAnsiTheme="minorHAnsi" w:cstheme="minorHAnsi"/>
          <w:i/>
          <w:sz w:val="22"/>
          <w:szCs w:val="22"/>
          <w14:shadow w14:blurRad="63500" w14:dist="50800" w14:dir="10800000" w14:sx="0" w14:sy="0" w14:kx="0" w14:ky="0" w14:algn="none">
            <w14:srgbClr w14:val="000000">
              <w14:alpha w14:val="50000"/>
            </w14:srgbClr>
          </w14:shadow>
        </w:rPr>
        <w:t xml:space="preserve">, where applicable. </w:t>
      </w:r>
    </w:p>
    <w:p w14:paraId="59FD3022" w14:textId="77777777" w:rsidR="003248BE" w:rsidRPr="00631EF6" w:rsidRDefault="003248BE">
      <w:pPr>
        <w:pStyle w:val="ListParagraph"/>
        <w:numPr>
          <w:ilvl w:val="0"/>
          <w:numId w:val="19"/>
        </w:numPr>
        <w:rPr>
          <w:rFonts w:asciiTheme="minorHAnsi" w:hAnsiTheme="minorHAnsi" w:cstheme="minorHAnsi"/>
          <w:i/>
          <w:sz w:val="22"/>
          <w:szCs w:val="22"/>
          <w14:shadow w14:blurRad="63500" w14:dist="50800" w14:dir="10800000" w14:sx="0" w14:sy="0" w14:kx="0" w14:ky="0" w14:algn="none">
            <w14:srgbClr w14:val="000000">
              <w14:alpha w14:val="50000"/>
            </w14:srgbClr>
          </w14:shadow>
        </w:rPr>
      </w:pPr>
      <w:r>
        <w:rPr>
          <w:rFonts w:asciiTheme="minorHAnsi" w:hAnsiTheme="minorHAnsi" w:cstheme="minorHAnsi"/>
          <w:i/>
          <w:sz w:val="22"/>
          <w:szCs w:val="22"/>
          <w14:shadow w14:blurRad="63500" w14:dist="50800" w14:dir="10800000" w14:sx="0" w14:sy="0" w14:kx="0" w14:ky="0" w14:algn="none">
            <w14:srgbClr w14:val="000000">
              <w14:alpha w14:val="50000"/>
            </w14:srgbClr>
          </w14:shadow>
        </w:rPr>
        <w:t>Inter-dependencies among EUR RASP actions.</w:t>
      </w:r>
    </w:p>
    <w:p w14:paraId="612C75D2" w14:textId="77777777" w:rsidR="003248BE" w:rsidRPr="00631EF6" w:rsidRDefault="003248BE" w:rsidP="003248BE">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w:t>
      </w:r>
      <w:r>
        <w:rPr>
          <w:rFonts w:ascii="Calibri" w:hAnsi="Calibri" w:cs="Calibri"/>
          <w:color w:val="C00000"/>
          <w:sz w:val="22"/>
          <w:szCs w:val="22"/>
        </w:rPr>
        <w:t>5</w:t>
      </w:r>
      <w:r w:rsidRPr="00BB54B3">
        <w:rPr>
          <w:rFonts w:ascii="Calibri" w:hAnsi="Calibri" w:cs="Calibri"/>
          <w:color w:val="C00000"/>
          <w:sz w:val="22"/>
          <w:szCs w:val="22"/>
        </w:rPr>
        <w:t xml:space="preserve">) </w:t>
      </w:r>
      <w:r w:rsidRPr="00631EF6">
        <w:rPr>
          <w:rFonts w:ascii="Calibri" w:hAnsi="Calibri" w:cs="Calibri"/>
          <w:sz w:val="22"/>
          <w:szCs w:val="22"/>
        </w:rPr>
        <w:t>‘Affected stakeholders’: list of main stakeholders affected, as per Annex B.</w:t>
      </w:r>
    </w:p>
    <w:p w14:paraId="01B0E198" w14:textId="77777777" w:rsidR="003248BE" w:rsidRPr="00631EF6" w:rsidRDefault="003248BE" w:rsidP="003248BE">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w:t>
      </w:r>
      <w:r>
        <w:rPr>
          <w:rFonts w:ascii="Calibri" w:hAnsi="Calibri" w:cs="Calibri"/>
          <w:color w:val="C00000"/>
          <w:sz w:val="22"/>
          <w:szCs w:val="22"/>
        </w:rPr>
        <w:t>6</w:t>
      </w:r>
      <w:r w:rsidRPr="00BB54B3">
        <w:rPr>
          <w:rFonts w:ascii="Calibri" w:hAnsi="Calibri" w:cs="Calibri"/>
          <w:color w:val="C00000"/>
          <w:sz w:val="22"/>
          <w:szCs w:val="22"/>
        </w:rPr>
        <w:t xml:space="preserve">) </w:t>
      </w:r>
      <w:r w:rsidRPr="00631EF6">
        <w:rPr>
          <w:rFonts w:ascii="Calibri" w:hAnsi="Calibri" w:cs="Calibri"/>
          <w:sz w:val="22"/>
          <w:szCs w:val="22"/>
        </w:rPr>
        <w:t>‘Owner’ of the action: e.g. States/</w:t>
      </w:r>
      <w:proofErr w:type="gramStart"/>
      <w:r w:rsidRPr="00631EF6">
        <w:rPr>
          <w:rFonts w:ascii="Calibri" w:hAnsi="Calibri" w:cs="Calibri"/>
          <w:sz w:val="22"/>
          <w:szCs w:val="22"/>
        </w:rPr>
        <w:t>Industry;</w:t>
      </w:r>
      <w:proofErr w:type="gramEnd"/>
    </w:p>
    <w:p w14:paraId="79CB31B2" w14:textId="77777777" w:rsidR="003248BE" w:rsidRPr="0050017B" w:rsidRDefault="003248BE" w:rsidP="003248BE">
      <w:pPr>
        <w:autoSpaceDE w:val="0"/>
        <w:autoSpaceDN w:val="0"/>
        <w:adjustRightInd w:val="0"/>
        <w:spacing w:before="120"/>
        <w:rPr>
          <w:rFonts w:asciiTheme="minorHAnsi" w:hAnsiTheme="minorHAnsi" w:cstheme="minorHAnsi"/>
          <w:sz w:val="22"/>
          <w:szCs w:val="22"/>
        </w:rPr>
      </w:pPr>
      <w:r w:rsidRPr="00BB54B3">
        <w:rPr>
          <w:rFonts w:ascii="Calibri" w:hAnsi="Calibri" w:cs="Calibri"/>
          <w:color w:val="C00000"/>
          <w:sz w:val="22"/>
          <w:szCs w:val="22"/>
        </w:rPr>
        <w:t>(</w:t>
      </w:r>
      <w:r>
        <w:rPr>
          <w:rFonts w:ascii="Calibri" w:hAnsi="Calibri" w:cs="Calibri"/>
          <w:color w:val="C00000"/>
          <w:sz w:val="22"/>
          <w:szCs w:val="22"/>
        </w:rPr>
        <w:t>7</w:t>
      </w:r>
      <w:r w:rsidRPr="00BB54B3">
        <w:rPr>
          <w:rFonts w:ascii="Calibri" w:hAnsi="Calibri" w:cs="Calibri"/>
          <w:color w:val="C00000"/>
          <w:sz w:val="22"/>
          <w:szCs w:val="22"/>
        </w:rPr>
        <w:t xml:space="preserve">) </w:t>
      </w:r>
      <w:r w:rsidRPr="00631EF6">
        <w:rPr>
          <w:rFonts w:ascii="Calibri" w:hAnsi="Calibri" w:cs="Calibri"/>
          <w:sz w:val="22"/>
          <w:szCs w:val="22"/>
        </w:rPr>
        <w:t xml:space="preserve">‘Deliverable(s)’: </w:t>
      </w:r>
      <w:r>
        <w:rPr>
          <w:rFonts w:ascii="Calibri" w:hAnsi="Calibri" w:cs="Calibri"/>
          <w:sz w:val="22"/>
          <w:szCs w:val="22"/>
        </w:rPr>
        <w:t xml:space="preserve">e.g. </w:t>
      </w:r>
      <w:r w:rsidRPr="0050017B" w:rsidDel="0050017B">
        <w:rPr>
          <w:rFonts w:ascii="Calibri" w:hAnsi="Calibri" w:cs="Calibri"/>
          <w:sz w:val="22"/>
          <w:szCs w:val="22"/>
        </w:rPr>
        <w:t xml:space="preserve"> </w:t>
      </w:r>
      <w:r w:rsidRPr="0050017B">
        <w:rPr>
          <w:rFonts w:asciiTheme="minorHAnsi" w:hAnsiTheme="minorHAnsi" w:cstheme="minorHAnsi"/>
          <w:sz w:val="22"/>
          <w:szCs w:val="22"/>
        </w:rPr>
        <w:t xml:space="preserve">‘Regulatory framework in place’, </w:t>
      </w:r>
      <w:r>
        <w:rPr>
          <w:rFonts w:asciiTheme="minorHAnsi" w:hAnsiTheme="minorHAnsi" w:cstheme="minorHAnsi"/>
          <w:sz w:val="22"/>
          <w:szCs w:val="22"/>
        </w:rPr>
        <w:t>‘</w:t>
      </w:r>
      <w:r w:rsidRPr="0050017B">
        <w:rPr>
          <w:rFonts w:asciiTheme="minorHAnsi" w:hAnsiTheme="minorHAnsi" w:cstheme="minorHAnsi"/>
          <w:sz w:val="22"/>
          <w:szCs w:val="22"/>
        </w:rPr>
        <w:t>Safety Promotion material</w:t>
      </w:r>
      <w:r>
        <w:rPr>
          <w:rFonts w:asciiTheme="minorHAnsi" w:hAnsiTheme="minorHAnsi" w:cstheme="minorHAnsi"/>
          <w:sz w:val="22"/>
          <w:szCs w:val="22"/>
        </w:rPr>
        <w:t xml:space="preserve">’, </w:t>
      </w:r>
      <w:proofErr w:type="gramStart"/>
      <w:r>
        <w:rPr>
          <w:rFonts w:asciiTheme="minorHAnsi" w:hAnsiTheme="minorHAnsi" w:cstheme="minorHAnsi"/>
          <w:sz w:val="22"/>
          <w:szCs w:val="22"/>
        </w:rPr>
        <w:t>etc</w:t>
      </w:r>
      <w:r w:rsidRPr="0050017B">
        <w:rPr>
          <w:rFonts w:asciiTheme="minorHAnsi" w:hAnsiTheme="minorHAnsi" w:cstheme="minorHAnsi"/>
          <w:sz w:val="22"/>
          <w:szCs w:val="22"/>
        </w:rPr>
        <w:t>;</w:t>
      </w:r>
      <w:proofErr w:type="gramEnd"/>
      <w:r w:rsidRPr="0050017B">
        <w:rPr>
          <w:rFonts w:asciiTheme="minorHAnsi" w:hAnsiTheme="minorHAnsi" w:cstheme="minorHAnsi"/>
          <w:sz w:val="22"/>
          <w:szCs w:val="22"/>
        </w:rPr>
        <w:t xml:space="preserve"> </w:t>
      </w:r>
      <w:r w:rsidRPr="0050017B" w:rsidDel="0050017B">
        <w:rPr>
          <w:rFonts w:asciiTheme="minorHAnsi" w:hAnsiTheme="minorHAnsi" w:cstheme="minorHAnsi"/>
          <w:sz w:val="22"/>
          <w:szCs w:val="22"/>
        </w:rPr>
        <w:t xml:space="preserve"> </w:t>
      </w:r>
    </w:p>
    <w:p w14:paraId="033E83B0" w14:textId="77777777" w:rsidR="003248BE" w:rsidRPr="00631EF6" w:rsidRDefault="003248BE" w:rsidP="003248BE">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w:t>
      </w:r>
      <w:r>
        <w:rPr>
          <w:rFonts w:ascii="Calibri" w:hAnsi="Calibri" w:cs="Calibri"/>
          <w:color w:val="C00000"/>
          <w:sz w:val="22"/>
          <w:szCs w:val="22"/>
        </w:rPr>
        <w:t>8</w:t>
      </w:r>
      <w:r w:rsidRPr="00BB54B3">
        <w:rPr>
          <w:rFonts w:ascii="Calibri" w:hAnsi="Calibri" w:cs="Calibri"/>
          <w:color w:val="C00000"/>
          <w:sz w:val="22"/>
          <w:szCs w:val="22"/>
        </w:rPr>
        <w:t xml:space="preserve">) </w:t>
      </w:r>
      <w:r w:rsidRPr="00631EF6">
        <w:rPr>
          <w:rFonts w:ascii="Calibri" w:hAnsi="Calibri" w:cs="Calibri"/>
          <w:sz w:val="22"/>
          <w:szCs w:val="22"/>
        </w:rPr>
        <w:t xml:space="preserve">‘Timeline’: year/quarter or continuous </w:t>
      </w:r>
      <w:proofErr w:type="gramStart"/>
      <w:r w:rsidRPr="00631EF6">
        <w:rPr>
          <w:rFonts w:ascii="Calibri" w:hAnsi="Calibri" w:cs="Calibri"/>
          <w:sz w:val="22"/>
          <w:szCs w:val="22"/>
        </w:rPr>
        <w:t>action;</w:t>
      </w:r>
      <w:proofErr w:type="gramEnd"/>
    </w:p>
    <w:p w14:paraId="104EB176" w14:textId="77777777" w:rsidR="003248BE" w:rsidRPr="00631EF6" w:rsidRDefault="003248BE" w:rsidP="003248BE">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w:t>
      </w:r>
      <w:r>
        <w:rPr>
          <w:rFonts w:ascii="Calibri" w:hAnsi="Calibri" w:cs="Calibri"/>
          <w:color w:val="C00000"/>
          <w:sz w:val="22"/>
          <w:szCs w:val="22"/>
        </w:rPr>
        <w:t>9</w:t>
      </w:r>
      <w:r w:rsidRPr="00BB54B3">
        <w:rPr>
          <w:rFonts w:ascii="Calibri" w:hAnsi="Calibri" w:cs="Calibri"/>
          <w:color w:val="C00000"/>
          <w:sz w:val="22"/>
          <w:szCs w:val="22"/>
        </w:rPr>
        <w:t xml:space="preserve">) </w:t>
      </w:r>
      <w:r w:rsidRPr="00631EF6">
        <w:rPr>
          <w:rFonts w:ascii="Calibri" w:hAnsi="Calibri" w:cs="Calibri"/>
          <w:sz w:val="22"/>
          <w:szCs w:val="22"/>
        </w:rPr>
        <w:t xml:space="preserve">‘Changes since last edition’: </w:t>
      </w:r>
    </w:p>
    <w:p w14:paraId="35FAAA07" w14:textId="77777777" w:rsidR="003248BE" w:rsidRPr="00631EF6" w:rsidRDefault="003248BE" w:rsidP="003248BE">
      <w:pPr>
        <w:pStyle w:val="Standardtext"/>
      </w:pPr>
      <w:r w:rsidRPr="00631EF6">
        <w:t>This field provides information on changes in the EUR RASP action since the last EUR RASP edition, including clarification on the new action template and new numbering system introduced for this EUR RASP edition</w:t>
      </w:r>
    </w:p>
    <w:p w14:paraId="6C5994D3" w14:textId="77777777" w:rsidR="003248BE" w:rsidRPr="00631EF6" w:rsidRDefault="003248BE" w:rsidP="003248BE">
      <w:pPr>
        <w:pStyle w:val="Standardtext"/>
      </w:pPr>
      <w:r w:rsidRPr="00631EF6">
        <w:t>Possible entries (one or more may apply):</w:t>
      </w:r>
    </w:p>
    <w:p w14:paraId="43AF4B07" w14:textId="77777777" w:rsidR="003248BE" w:rsidRPr="00631EF6" w:rsidRDefault="003248BE">
      <w:pPr>
        <w:pStyle w:val="ListParagraph"/>
        <w:numPr>
          <w:ilvl w:val="0"/>
          <w:numId w:val="19"/>
        </w:numPr>
        <w:rPr>
          <w:rFonts w:asciiTheme="minorHAnsi" w:hAnsiTheme="minorHAnsi" w:cstheme="minorHAnsi"/>
          <w:sz w:val="22"/>
          <w:szCs w:val="22"/>
        </w:rPr>
      </w:pPr>
      <w:r w:rsidRPr="002F32F6">
        <w:rPr>
          <w:rFonts w:asciiTheme="minorHAnsi" w:hAnsiTheme="minorHAnsi" w:cstheme="minorHAnsi"/>
          <w:i/>
          <w:sz w:val="22"/>
          <w:szCs w:val="22"/>
        </w:rPr>
        <w:t>n/a</w:t>
      </w:r>
      <w:r w:rsidRPr="00631EF6">
        <w:rPr>
          <w:rFonts w:asciiTheme="minorHAnsi" w:hAnsiTheme="minorHAnsi" w:cstheme="minorHAnsi"/>
          <w:sz w:val="22"/>
          <w:szCs w:val="22"/>
        </w:rPr>
        <w:t xml:space="preserve">: for newly introduced actions in the current EUR RASP edition. Since they are new, there are no changes to the previous edition of the plan. </w:t>
      </w:r>
    </w:p>
    <w:p w14:paraId="36DE266F" w14:textId="77777777" w:rsidR="003248BE" w:rsidRPr="00631EF6" w:rsidRDefault="003248BE">
      <w:pPr>
        <w:pStyle w:val="ListParagraph"/>
        <w:numPr>
          <w:ilvl w:val="0"/>
          <w:numId w:val="19"/>
        </w:numPr>
        <w:rPr>
          <w:rFonts w:asciiTheme="minorHAnsi" w:hAnsiTheme="minorHAnsi" w:cstheme="minorHAnsi"/>
          <w:sz w:val="22"/>
          <w:szCs w:val="22"/>
        </w:rPr>
      </w:pPr>
      <w:r w:rsidRPr="002F32F6">
        <w:rPr>
          <w:rFonts w:asciiTheme="minorHAnsi" w:hAnsiTheme="minorHAnsi" w:cstheme="minorHAnsi"/>
          <w:i/>
          <w:sz w:val="22"/>
          <w:szCs w:val="22"/>
        </w:rPr>
        <w:t>Action title amended</w:t>
      </w:r>
      <w:r w:rsidRPr="00631EF6">
        <w:rPr>
          <w:rFonts w:asciiTheme="minorHAnsi" w:hAnsiTheme="minorHAnsi" w:cstheme="minorHAnsi"/>
          <w:sz w:val="22"/>
          <w:szCs w:val="22"/>
        </w:rPr>
        <w:t xml:space="preserve">: when the title of the action has been amended. </w:t>
      </w:r>
    </w:p>
    <w:p w14:paraId="03753078" w14:textId="77777777" w:rsidR="003248BE" w:rsidRPr="00631EF6" w:rsidRDefault="003248BE">
      <w:pPr>
        <w:pStyle w:val="ListParagraph"/>
        <w:numPr>
          <w:ilvl w:val="0"/>
          <w:numId w:val="19"/>
        </w:numPr>
        <w:rPr>
          <w:rFonts w:asciiTheme="minorHAnsi" w:hAnsiTheme="minorHAnsi" w:cstheme="minorHAnsi"/>
          <w:sz w:val="22"/>
          <w:szCs w:val="22"/>
        </w:rPr>
      </w:pPr>
      <w:r w:rsidRPr="002F32F6">
        <w:rPr>
          <w:rFonts w:asciiTheme="minorHAnsi" w:hAnsiTheme="minorHAnsi" w:cstheme="minorHAnsi"/>
          <w:i/>
          <w:sz w:val="22"/>
          <w:szCs w:val="22"/>
        </w:rPr>
        <w:t>Action description amended</w:t>
      </w:r>
      <w:r w:rsidRPr="00631EF6">
        <w:rPr>
          <w:rFonts w:asciiTheme="minorHAnsi" w:hAnsiTheme="minorHAnsi" w:cstheme="minorHAnsi"/>
          <w:sz w:val="22"/>
          <w:szCs w:val="22"/>
        </w:rPr>
        <w:t xml:space="preserve">: when the description of the action has been amended. </w:t>
      </w:r>
    </w:p>
    <w:p w14:paraId="41D10B4A" w14:textId="77777777" w:rsidR="003248BE" w:rsidRDefault="003248BE">
      <w:pPr>
        <w:pStyle w:val="ListParagraph"/>
        <w:numPr>
          <w:ilvl w:val="0"/>
          <w:numId w:val="19"/>
        </w:numPr>
        <w:rPr>
          <w:rFonts w:asciiTheme="minorHAnsi" w:hAnsiTheme="minorHAnsi" w:cstheme="minorHAnsi"/>
          <w:sz w:val="22"/>
          <w:szCs w:val="22"/>
        </w:rPr>
      </w:pPr>
      <w:r>
        <w:rPr>
          <w:rFonts w:asciiTheme="minorHAnsi" w:hAnsiTheme="minorHAnsi" w:cstheme="minorHAnsi"/>
          <w:i/>
          <w:sz w:val="22"/>
          <w:szCs w:val="22"/>
        </w:rPr>
        <w:t>Timeline (further) extended</w:t>
      </w:r>
      <w:r w:rsidRPr="00C23010">
        <w:rPr>
          <w:rFonts w:asciiTheme="minorHAnsi" w:hAnsiTheme="minorHAnsi" w:cstheme="minorHAnsi"/>
          <w:sz w:val="22"/>
          <w:szCs w:val="22"/>
        </w:rPr>
        <w:t>.</w:t>
      </w:r>
    </w:p>
    <w:p w14:paraId="0BAAE95B" w14:textId="77777777" w:rsidR="003248BE" w:rsidRPr="00631EF6" w:rsidRDefault="003248BE" w:rsidP="003248BE">
      <w:pPr>
        <w:pStyle w:val="ListParagraph"/>
        <w:rPr>
          <w:rFonts w:asciiTheme="minorHAnsi" w:hAnsiTheme="minorHAnsi" w:cstheme="minorHAnsi"/>
          <w:sz w:val="22"/>
          <w:szCs w:val="22"/>
        </w:rPr>
      </w:pPr>
    </w:p>
    <w:p w14:paraId="36C708DF" w14:textId="77777777" w:rsidR="003248BE" w:rsidRPr="00631EF6" w:rsidRDefault="003248BE" w:rsidP="003248BE">
      <w:pPr>
        <w:autoSpaceDE w:val="0"/>
        <w:autoSpaceDN w:val="0"/>
        <w:adjustRightInd w:val="0"/>
        <w:spacing w:before="120"/>
        <w:rPr>
          <w:rFonts w:ascii="Calibri" w:hAnsi="Calibri" w:cs="Calibri"/>
          <w:sz w:val="22"/>
          <w:szCs w:val="22"/>
        </w:rPr>
      </w:pPr>
      <w:r w:rsidRPr="00BB54B3">
        <w:rPr>
          <w:rFonts w:ascii="Calibri" w:hAnsi="Calibri" w:cs="Calibri"/>
          <w:color w:val="C00000"/>
          <w:sz w:val="22"/>
          <w:szCs w:val="22"/>
        </w:rPr>
        <w:t>(1</w:t>
      </w:r>
      <w:r>
        <w:rPr>
          <w:rFonts w:ascii="Calibri" w:hAnsi="Calibri" w:cs="Calibri"/>
          <w:color w:val="C00000"/>
          <w:sz w:val="22"/>
          <w:szCs w:val="22"/>
        </w:rPr>
        <w:t>0</w:t>
      </w:r>
      <w:r w:rsidRPr="00BB54B3">
        <w:rPr>
          <w:rFonts w:ascii="Calibri" w:hAnsi="Calibri" w:cs="Calibri"/>
          <w:color w:val="C00000"/>
          <w:sz w:val="22"/>
          <w:szCs w:val="22"/>
        </w:rPr>
        <w:t xml:space="preserve">) </w:t>
      </w:r>
      <w:r w:rsidRPr="00631EF6">
        <w:rPr>
          <w:rFonts w:ascii="Calibri" w:hAnsi="Calibri" w:cs="Calibri"/>
          <w:sz w:val="22"/>
          <w:szCs w:val="22"/>
        </w:rPr>
        <w:t>‘Monitoring activities’:  where relevant, short description of how the particular action will be monitored.</w:t>
      </w:r>
    </w:p>
    <w:p w14:paraId="0CAC316D" w14:textId="648FA1A0" w:rsidR="003248BE" w:rsidRPr="00631EF6" w:rsidRDefault="003248BE" w:rsidP="003248BE">
      <w:pPr>
        <w:autoSpaceDE w:val="0"/>
        <w:autoSpaceDN w:val="0"/>
        <w:adjustRightInd w:val="0"/>
        <w:spacing w:before="120"/>
        <w:rPr>
          <w:rFonts w:asciiTheme="minorHAnsi" w:hAnsiTheme="minorHAnsi" w:cstheme="minorHAnsi"/>
          <w:b/>
          <w:szCs w:val="22"/>
        </w:rPr>
      </w:pPr>
      <w:r w:rsidRPr="00BB54B3">
        <w:rPr>
          <w:rFonts w:ascii="Calibri" w:hAnsi="Calibri" w:cs="Calibri"/>
          <w:color w:val="C00000"/>
          <w:sz w:val="22"/>
          <w:szCs w:val="22"/>
        </w:rPr>
        <w:t>(1</w:t>
      </w:r>
      <w:r>
        <w:rPr>
          <w:rFonts w:ascii="Calibri" w:hAnsi="Calibri" w:cs="Calibri"/>
          <w:color w:val="C00000"/>
          <w:sz w:val="22"/>
          <w:szCs w:val="22"/>
        </w:rPr>
        <w:t>1</w:t>
      </w:r>
      <w:r w:rsidRPr="00BB54B3">
        <w:rPr>
          <w:rFonts w:ascii="Calibri" w:hAnsi="Calibri" w:cs="Calibri"/>
          <w:color w:val="C00000"/>
          <w:sz w:val="22"/>
          <w:szCs w:val="22"/>
        </w:rPr>
        <w:t xml:space="preserve">) </w:t>
      </w:r>
      <w:r w:rsidRPr="00631EF6">
        <w:rPr>
          <w:rFonts w:ascii="Calibri" w:hAnsi="Calibri" w:cs="Calibri"/>
          <w:sz w:val="22"/>
          <w:szCs w:val="22"/>
        </w:rPr>
        <w:t xml:space="preserve">‘Related SPIs’: where applicable, corresponding EUR RASP SPIs (cf. </w:t>
      </w:r>
      <w:r w:rsidR="00E07EA0">
        <w:rPr>
          <w:rFonts w:ascii="Calibri" w:hAnsi="Calibri" w:cs="Calibri"/>
          <w:sz w:val="22"/>
          <w:szCs w:val="22"/>
        </w:rPr>
        <w:t>Section 5</w:t>
      </w:r>
      <w:r w:rsidRPr="00631EF6">
        <w:rPr>
          <w:rFonts w:ascii="Calibri" w:hAnsi="Calibri" w:cs="Calibri"/>
          <w:sz w:val="22"/>
          <w:szCs w:val="22"/>
        </w:rPr>
        <w:t>).</w:t>
      </w:r>
    </w:p>
    <w:p w14:paraId="44F0D0FA" w14:textId="77777777" w:rsidR="003248BE" w:rsidRPr="00631EF6" w:rsidRDefault="003248BE" w:rsidP="003248BE">
      <w:pPr>
        <w:tabs>
          <w:tab w:val="left" w:pos="2783"/>
        </w:tabs>
        <w:autoSpaceDE w:val="0"/>
        <w:autoSpaceDN w:val="0"/>
        <w:adjustRightInd w:val="0"/>
        <w:rPr>
          <w:rFonts w:asciiTheme="minorHAnsi" w:hAnsiTheme="minorHAnsi" w:cstheme="minorHAnsi"/>
          <w:b/>
          <w:szCs w:val="22"/>
        </w:rPr>
      </w:pPr>
      <w:r w:rsidRPr="00631EF6">
        <w:rPr>
          <w:rFonts w:asciiTheme="minorHAnsi" w:hAnsiTheme="minorHAnsi" w:cstheme="minorHAnsi"/>
          <w:b/>
          <w:szCs w:val="22"/>
        </w:rPr>
        <w:tab/>
      </w:r>
    </w:p>
    <w:p w14:paraId="670EB1B9" w14:textId="428B42EE" w:rsidR="00CD10F2" w:rsidRPr="00631EF6" w:rsidRDefault="003248BE" w:rsidP="003248BE">
      <w:pPr>
        <w:spacing w:after="120"/>
        <w:jc w:val="both"/>
        <w:rPr>
          <w:rFonts w:asciiTheme="minorHAnsi" w:hAnsiTheme="minorHAnsi" w:cstheme="majorHAnsi"/>
          <w:sz w:val="22"/>
          <w:szCs w:val="22"/>
          <w:lang w:val="en-US"/>
        </w:rPr>
      </w:pPr>
      <w:r w:rsidRPr="00631EF6">
        <w:rPr>
          <w:rFonts w:ascii="Calibri" w:hAnsi="Calibri" w:cs="Calibri"/>
          <w:sz w:val="22"/>
          <w:szCs w:val="22"/>
        </w:rPr>
        <w:t xml:space="preserve">In </w:t>
      </w:r>
      <w:r w:rsidR="00E07EA0">
        <w:rPr>
          <w:rFonts w:ascii="Calibri" w:hAnsi="Calibri" w:cs="Calibri"/>
          <w:sz w:val="22"/>
          <w:szCs w:val="22"/>
        </w:rPr>
        <w:t>Volume II</w:t>
      </w:r>
      <w:r w:rsidRPr="00631EF6">
        <w:rPr>
          <w:rFonts w:ascii="Calibri" w:hAnsi="Calibri" w:cs="Calibri"/>
          <w:sz w:val="22"/>
          <w:szCs w:val="22"/>
        </w:rPr>
        <w:t xml:space="preserve">, within each subchapter, actions are </w:t>
      </w:r>
      <w:r>
        <w:rPr>
          <w:rFonts w:ascii="Calibri" w:hAnsi="Calibri" w:cs="Calibri"/>
          <w:sz w:val="22"/>
          <w:szCs w:val="22"/>
        </w:rPr>
        <w:t xml:space="preserve">grouped per topic and </w:t>
      </w:r>
      <w:r w:rsidRPr="00631EF6">
        <w:rPr>
          <w:rFonts w:ascii="Calibri" w:hAnsi="Calibri" w:cs="Calibri"/>
          <w:sz w:val="22"/>
          <w:szCs w:val="22"/>
        </w:rPr>
        <w:t>listed in ascending order of the unique EUR RASP action reference number.</w:t>
      </w:r>
    </w:p>
    <w:sectPr w:rsidR="00CD10F2" w:rsidRPr="00631EF6" w:rsidSect="00DC4115">
      <w:headerReference w:type="default" r:id="rId33"/>
      <w:pgSz w:w="11906" w:h="16838" w:code="9"/>
      <w:pgMar w:top="1134" w:right="1134" w:bottom="902" w:left="1134" w:header="709"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66649" w14:textId="77777777" w:rsidR="00205154" w:rsidRDefault="00205154">
      <w:r>
        <w:separator/>
      </w:r>
    </w:p>
    <w:p w14:paraId="1AFEDCC8" w14:textId="77777777" w:rsidR="00205154" w:rsidRDefault="00205154"/>
    <w:p w14:paraId="3E68AB77" w14:textId="77777777" w:rsidR="00205154" w:rsidRDefault="00205154"/>
    <w:p w14:paraId="5086C0A8" w14:textId="77777777" w:rsidR="00205154" w:rsidRDefault="00205154"/>
  </w:endnote>
  <w:endnote w:type="continuationSeparator" w:id="0">
    <w:p w14:paraId="14019895" w14:textId="77777777" w:rsidR="00205154" w:rsidRDefault="00205154">
      <w:r>
        <w:continuationSeparator/>
      </w:r>
    </w:p>
    <w:p w14:paraId="1C473DA9" w14:textId="77777777" w:rsidR="00205154" w:rsidRDefault="00205154"/>
    <w:p w14:paraId="74153257" w14:textId="77777777" w:rsidR="00205154" w:rsidRDefault="00205154"/>
    <w:p w14:paraId="6C392B6A" w14:textId="77777777" w:rsidR="00205154" w:rsidRDefault="00205154"/>
  </w:endnote>
  <w:endnote w:type="continuationNotice" w:id="1">
    <w:p w14:paraId="7DA39997" w14:textId="77777777" w:rsidR="00205154" w:rsidRDefault="00205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EA0F6" w14:textId="77777777" w:rsidR="00205154" w:rsidRDefault="00205154">
      <w:r>
        <w:separator/>
      </w:r>
    </w:p>
    <w:p w14:paraId="32A1F3AE" w14:textId="77777777" w:rsidR="00205154" w:rsidRDefault="00205154"/>
  </w:footnote>
  <w:footnote w:type="continuationSeparator" w:id="0">
    <w:p w14:paraId="5CD8D4F0" w14:textId="77777777" w:rsidR="00205154" w:rsidRDefault="00205154">
      <w:r>
        <w:continuationSeparator/>
      </w:r>
    </w:p>
    <w:p w14:paraId="056DE4B1" w14:textId="77777777" w:rsidR="00205154" w:rsidRDefault="00205154"/>
    <w:p w14:paraId="63EB042F" w14:textId="77777777" w:rsidR="00205154" w:rsidRDefault="00205154"/>
    <w:p w14:paraId="4A0C6D85" w14:textId="77777777" w:rsidR="00205154" w:rsidRDefault="00205154"/>
  </w:footnote>
  <w:footnote w:type="continuationNotice" w:id="1">
    <w:p w14:paraId="7564DE88" w14:textId="77777777" w:rsidR="00205154" w:rsidRDefault="00205154"/>
  </w:footnote>
  <w:footnote w:id="2">
    <w:p w14:paraId="4E6378D4" w14:textId="35E051F6" w:rsidR="00727933" w:rsidRPr="00B74AD7" w:rsidRDefault="00727933" w:rsidP="00727933">
      <w:pPr>
        <w:pStyle w:val="FootnoteText"/>
        <w:tabs>
          <w:tab w:val="left" w:pos="567"/>
        </w:tabs>
        <w:rPr>
          <w:rStyle w:val="Hyperlink"/>
          <w:rFonts w:ascii="Verdana" w:hAnsi="Verdana"/>
          <w:sz w:val="18"/>
          <w:szCs w:val="18"/>
          <w:lang w:val="fr-BE"/>
        </w:rPr>
      </w:pPr>
      <w:r w:rsidRPr="00AD5356">
        <w:rPr>
          <w:rStyle w:val="FootnoteReference"/>
        </w:rPr>
        <w:footnoteRef/>
      </w:r>
      <w:r w:rsidR="00AD7E3A">
        <w:rPr>
          <w:lang w:val="fr-BE"/>
        </w:rPr>
        <w:t xml:space="preserve"> </w:t>
      </w:r>
      <w:hyperlink r:id="rId1" w:history="1">
        <w:r w:rsidRPr="00AF1C28">
          <w:rPr>
            <w:rStyle w:val="Hyperlink"/>
            <w:lang w:val="fr-FR"/>
          </w:rPr>
          <w:t>EUR-Lex - 52022DC0529 - EN - EUR-Lex (europa.eu)</w:t>
        </w:r>
      </w:hyperlink>
    </w:p>
  </w:footnote>
  <w:footnote w:id="3">
    <w:p w14:paraId="186969E9" w14:textId="651CBB21" w:rsidR="004400CC" w:rsidRPr="004400CC" w:rsidRDefault="004400CC">
      <w:pPr>
        <w:pStyle w:val="FootnoteText"/>
        <w:rPr>
          <w:lang w:val="fr-BE"/>
        </w:rPr>
      </w:pPr>
      <w:r>
        <w:rPr>
          <w:rStyle w:val="FootnoteReference"/>
        </w:rPr>
        <w:footnoteRef/>
      </w:r>
      <w:r w:rsidRPr="004400CC">
        <w:rPr>
          <w:lang w:val="fr-BE"/>
        </w:rPr>
        <w:t xml:space="preserve"> </w:t>
      </w:r>
      <w:r w:rsidR="00AD7E3A">
        <w:fldChar w:fldCharType="begin"/>
      </w:r>
      <w:r w:rsidR="00AD7E3A" w:rsidRPr="001E7329">
        <w:rPr>
          <w:lang w:val="fr-BE"/>
        </w:rPr>
        <w:instrText>HYPERLINK "https://www.easa.europa.eu/en/domains/safety-management/european-plan-aviation-safety"</w:instrText>
      </w:r>
      <w:r w:rsidR="00AD7E3A">
        <w:fldChar w:fldCharType="separate"/>
      </w:r>
      <w:r w:rsidR="00AD7E3A" w:rsidRPr="00043ED5">
        <w:rPr>
          <w:rStyle w:val="Hyperlink"/>
          <w:lang w:val="fr-BE"/>
        </w:rPr>
        <w:t>https://www.easa.europa.eu/en/domains/safety-management/european-plan-aviation-safety</w:t>
      </w:r>
      <w:r w:rsidR="00AD7E3A">
        <w:fldChar w:fldCharType="end"/>
      </w:r>
      <w:r>
        <w:rPr>
          <w:lang w:val="fr-BE"/>
        </w:rPr>
        <w:t xml:space="preserve"> </w:t>
      </w:r>
    </w:p>
  </w:footnote>
  <w:footnote w:id="4">
    <w:p w14:paraId="5D53CD59" w14:textId="77777777" w:rsidR="00455E4D" w:rsidRPr="000D1929" w:rsidRDefault="00455E4D" w:rsidP="00455E4D">
      <w:pPr>
        <w:pStyle w:val="FootnoteText"/>
        <w:rPr>
          <w:lang w:val="fr-BE"/>
        </w:rPr>
      </w:pPr>
      <w:r>
        <w:rPr>
          <w:rStyle w:val="FootnoteReference"/>
        </w:rPr>
        <w:footnoteRef/>
      </w:r>
      <w:r w:rsidRPr="000D1929">
        <w:rPr>
          <w:lang w:val="fr-BE"/>
        </w:rPr>
        <w:t xml:space="preserve"> </w:t>
      </w:r>
      <w:r>
        <w:fldChar w:fldCharType="begin"/>
      </w:r>
      <w:r w:rsidRPr="001E7329">
        <w:rPr>
          <w:lang w:val="fr-BE"/>
        </w:rPr>
        <w:instrText>HYPERLINK "https://transport.ec.europa.eu/transport-themes/eu-air-safety-list_en"</w:instrText>
      </w:r>
      <w:r>
        <w:fldChar w:fldCharType="separate"/>
      </w:r>
      <w:r w:rsidRPr="000D1929">
        <w:rPr>
          <w:rStyle w:val="Hyperlink"/>
          <w:lang w:val="fr-BE"/>
        </w:rPr>
        <w:t>https://transport.ec.europa.eu/transport-themes/eu-air-safety-list_en</w:t>
      </w:r>
      <w:r>
        <w:fldChar w:fldCharType="end"/>
      </w:r>
    </w:p>
  </w:footnote>
  <w:footnote w:id="5">
    <w:p w14:paraId="72F9B4DB" w14:textId="77777777" w:rsidR="00455E4D" w:rsidRPr="00DC2C18" w:rsidRDefault="00455E4D" w:rsidP="00455E4D">
      <w:pPr>
        <w:pStyle w:val="FootnoteText"/>
        <w:rPr>
          <w:lang w:val="fr-BE"/>
        </w:rPr>
      </w:pPr>
      <w:r>
        <w:rPr>
          <w:rStyle w:val="FootnoteReference"/>
        </w:rPr>
        <w:footnoteRef/>
      </w:r>
      <w:r w:rsidRPr="00DC2C18">
        <w:rPr>
          <w:lang w:val="fr-BE"/>
        </w:rPr>
        <w:t xml:space="preserve"> </w:t>
      </w:r>
      <w:r>
        <w:fldChar w:fldCharType="begin"/>
      </w:r>
      <w:r w:rsidRPr="001E7329">
        <w:rPr>
          <w:lang w:val="fr-BE"/>
        </w:rPr>
        <w:instrText>HYPERLINK "https://www.eurocontrol.int/sites/default/files/2025-01/eurocontrol-european-aviation-overview-20250123-2024-review.pdf"</w:instrText>
      </w:r>
      <w:r>
        <w:fldChar w:fldCharType="separate"/>
      </w:r>
      <w:r w:rsidRPr="00DC2C18">
        <w:rPr>
          <w:rStyle w:val="Hyperlink"/>
          <w:lang w:val="fr-BE"/>
        </w:rPr>
        <w:t>https://www.eurocontrol.int/sites/default/files/2025-01/eurocontrol-european-aviation-overview-20250123-2024-review.pdf</w:t>
      </w:r>
      <w:r>
        <w:fldChar w:fldCharType="end"/>
      </w:r>
    </w:p>
  </w:footnote>
  <w:footnote w:id="6">
    <w:p w14:paraId="709C3A7B" w14:textId="77777777" w:rsidR="00455E4D" w:rsidRPr="00DC2C18" w:rsidRDefault="00455E4D" w:rsidP="00455E4D">
      <w:pPr>
        <w:pStyle w:val="FootnoteText"/>
        <w:rPr>
          <w:lang w:val="fr-BE"/>
        </w:rPr>
      </w:pPr>
      <w:r>
        <w:rPr>
          <w:rStyle w:val="FootnoteReference"/>
        </w:rPr>
        <w:footnoteRef/>
      </w:r>
      <w:r w:rsidRPr="00DC2C18">
        <w:rPr>
          <w:lang w:val="fr-BE"/>
        </w:rPr>
        <w:t xml:space="preserve"> </w:t>
      </w:r>
      <w:r>
        <w:fldChar w:fldCharType="begin"/>
      </w:r>
      <w:r w:rsidRPr="001E7329">
        <w:rPr>
          <w:lang w:val="fr-BE"/>
        </w:rPr>
        <w:instrText>HYPERLINK "https://www.iata.org/en/services/data/market-data/20-year-passenger-forecast/"</w:instrText>
      </w:r>
      <w:r>
        <w:fldChar w:fldCharType="separate"/>
      </w:r>
      <w:r w:rsidRPr="00DC2C18">
        <w:rPr>
          <w:rStyle w:val="Hyperlink"/>
          <w:lang w:val="fr-BE"/>
        </w:rPr>
        <w:t>https://www.iata.org/en/services/data/market-data/20-year-passenger-forecast/</w:t>
      </w:r>
      <w:r>
        <w:fldChar w:fldCharType="end"/>
      </w:r>
    </w:p>
  </w:footnote>
  <w:footnote w:id="7">
    <w:p w14:paraId="347C6384" w14:textId="77777777" w:rsidR="00455E4D" w:rsidRPr="00DC2C18" w:rsidRDefault="00455E4D" w:rsidP="00455E4D">
      <w:pPr>
        <w:pStyle w:val="FootnoteText"/>
        <w:rPr>
          <w:lang w:val="fr-BE"/>
        </w:rPr>
      </w:pPr>
      <w:r>
        <w:rPr>
          <w:rStyle w:val="FootnoteReference"/>
        </w:rPr>
        <w:footnoteRef/>
      </w:r>
      <w:r w:rsidRPr="00DC2C18">
        <w:rPr>
          <w:lang w:val="fr-BE"/>
        </w:rPr>
        <w:t xml:space="preserve"> </w:t>
      </w:r>
      <w:r>
        <w:fldChar w:fldCharType="begin"/>
      </w:r>
      <w:r w:rsidRPr="001E7329">
        <w:rPr>
          <w:lang w:val="fr-BE"/>
        </w:rPr>
        <w:instrText>HYPERLINK "https://www.iata.org/en/iata-repository/publications/economic-reports/global-outlook-for-air-transport-june-2024-report/"</w:instrText>
      </w:r>
      <w:r>
        <w:fldChar w:fldCharType="separate"/>
      </w:r>
      <w:r w:rsidRPr="00DC2C18">
        <w:rPr>
          <w:rStyle w:val="Hyperlink"/>
          <w:lang w:val="fr-BE"/>
        </w:rPr>
        <w:t>https://www.iata.org/en/iata-repository/publications/economic-reports/global-outlook-for-air-transport-june-2024-report/</w:t>
      </w:r>
      <w:r>
        <w:fldChar w:fldCharType="end"/>
      </w:r>
      <w:r w:rsidRPr="00DC2C18">
        <w:rPr>
          <w:lang w:val="fr-BE"/>
        </w:rPr>
        <w:t xml:space="preserve"> </w:t>
      </w:r>
    </w:p>
  </w:footnote>
  <w:footnote w:id="8">
    <w:p w14:paraId="230288E9" w14:textId="77777777" w:rsidR="00455E4D" w:rsidRPr="00DC2C18" w:rsidRDefault="00455E4D" w:rsidP="00455E4D">
      <w:pPr>
        <w:pStyle w:val="FootnoteText"/>
        <w:rPr>
          <w:lang w:val="fr-BE"/>
        </w:rPr>
      </w:pPr>
      <w:r>
        <w:rPr>
          <w:rStyle w:val="FootnoteReference"/>
        </w:rPr>
        <w:footnoteRef/>
      </w:r>
      <w:r w:rsidRPr="00DC2C18">
        <w:rPr>
          <w:lang w:val="fr-BE"/>
        </w:rPr>
        <w:t xml:space="preserve"> </w:t>
      </w:r>
      <w:r>
        <w:fldChar w:fldCharType="begin"/>
      </w:r>
      <w:r w:rsidRPr="001E7329">
        <w:rPr>
          <w:lang w:val="fr-BE"/>
        </w:rPr>
        <w:instrText>HYPERLINK "https://www.boeing.com/commercial/market/commercial-market-outlook" \l "overview"</w:instrText>
      </w:r>
      <w:r>
        <w:fldChar w:fldCharType="separate"/>
      </w:r>
      <w:r w:rsidRPr="00DC2C18">
        <w:rPr>
          <w:rStyle w:val="Hyperlink"/>
          <w:lang w:val="fr-BE"/>
        </w:rPr>
        <w:t>https://www.boeing.com/commercial/market/commercial-market-outlook#overview</w:t>
      </w:r>
      <w:r>
        <w:fldChar w:fldCharType="end"/>
      </w:r>
    </w:p>
  </w:footnote>
  <w:footnote w:id="9">
    <w:p w14:paraId="334B10D6" w14:textId="77777777" w:rsidR="00455E4D" w:rsidRPr="00DC2C18" w:rsidRDefault="00455E4D" w:rsidP="00455E4D">
      <w:pPr>
        <w:pStyle w:val="FootnoteText"/>
        <w:rPr>
          <w:lang w:val="fr-BE"/>
        </w:rPr>
      </w:pPr>
      <w:r>
        <w:rPr>
          <w:rStyle w:val="FootnoteReference"/>
        </w:rPr>
        <w:footnoteRef/>
      </w:r>
      <w:r w:rsidRPr="00DC2C18">
        <w:rPr>
          <w:lang w:val="fr-BE"/>
        </w:rPr>
        <w:t xml:space="preserve"> </w:t>
      </w:r>
      <w:r>
        <w:fldChar w:fldCharType="begin"/>
      </w:r>
      <w:r w:rsidRPr="001E7329">
        <w:rPr>
          <w:lang w:val="fr-BE"/>
        </w:rPr>
        <w:instrText>HYPERLINK "https://www.airbus.com/en/products-services/commercial-aircraft/global-market-forecast"</w:instrText>
      </w:r>
      <w:r>
        <w:fldChar w:fldCharType="separate"/>
      </w:r>
      <w:r w:rsidRPr="00DC2C18">
        <w:rPr>
          <w:rStyle w:val="Hyperlink"/>
          <w:lang w:val="fr-BE"/>
        </w:rPr>
        <w:t>https://www.airbus.com/en/products-services/commercial-aircraft/global-market-forecast</w:t>
      </w:r>
      <w:r>
        <w:fldChar w:fldCharType="end"/>
      </w:r>
    </w:p>
  </w:footnote>
  <w:footnote w:id="10">
    <w:p w14:paraId="61D1B270" w14:textId="77777777" w:rsidR="00455E4D" w:rsidRPr="00DC2C18" w:rsidRDefault="00455E4D" w:rsidP="00455E4D">
      <w:pPr>
        <w:pStyle w:val="FootnoteText"/>
        <w:rPr>
          <w:lang w:val="fr-BE"/>
        </w:rPr>
      </w:pPr>
      <w:r>
        <w:rPr>
          <w:rStyle w:val="FootnoteReference"/>
        </w:rPr>
        <w:footnoteRef/>
      </w:r>
      <w:r w:rsidRPr="00DC2C18">
        <w:rPr>
          <w:lang w:val="fr-BE"/>
        </w:rPr>
        <w:t xml:space="preserve"> </w:t>
      </w:r>
      <w:r>
        <w:fldChar w:fldCharType="begin"/>
      </w:r>
      <w:r w:rsidRPr="001E7329">
        <w:rPr>
          <w:lang w:val="fr-BE"/>
        </w:rPr>
        <w:instrText>HYPERLINK "https://www.eurocontrol.int/article/european-atm-master-plan-and-eurocontrols-role-wider-atm-transformation"</w:instrText>
      </w:r>
      <w:r>
        <w:fldChar w:fldCharType="separate"/>
      </w:r>
      <w:r w:rsidRPr="00DC2C18">
        <w:rPr>
          <w:rStyle w:val="Hyperlink"/>
          <w:lang w:val="fr-BE"/>
        </w:rPr>
        <w:t>https://www.eurocontrol.int/article/european-atm-master-plan-and-eurocontrols-role-wider-atm-transformation</w:t>
      </w:r>
      <w:r>
        <w:fldChar w:fldCharType="end"/>
      </w:r>
    </w:p>
    <w:p w14:paraId="44B76494" w14:textId="77777777" w:rsidR="00455E4D" w:rsidRPr="00DC2C18" w:rsidRDefault="00455E4D" w:rsidP="00455E4D">
      <w:pPr>
        <w:pStyle w:val="FootnoteText"/>
        <w:rPr>
          <w:lang w:val="fr-BE"/>
        </w:rPr>
      </w:pPr>
      <w:hyperlink r:id="rId2" w:history="1">
        <w:r w:rsidRPr="00DC2C18">
          <w:rPr>
            <w:rStyle w:val="Hyperlink"/>
            <w:lang w:val="fr-BE"/>
          </w:rPr>
          <w:t>https://www.eurocontrol.int/publication/network-strategy-plan-2025-2029</w:t>
        </w:r>
      </w:hyperlink>
    </w:p>
  </w:footnote>
  <w:footnote w:id="11">
    <w:p w14:paraId="4A9A5F33" w14:textId="77777777" w:rsidR="00455E4D" w:rsidRPr="00DC2C18" w:rsidRDefault="00455E4D" w:rsidP="00455E4D">
      <w:pPr>
        <w:pStyle w:val="FootnoteText"/>
        <w:rPr>
          <w:lang w:val="fr-BE"/>
        </w:rPr>
      </w:pPr>
      <w:r>
        <w:rPr>
          <w:rStyle w:val="FootnoteReference"/>
        </w:rPr>
        <w:footnoteRef/>
      </w:r>
      <w:r w:rsidRPr="00DC2C18">
        <w:rPr>
          <w:lang w:val="fr-BE"/>
        </w:rPr>
        <w:t xml:space="preserve"> </w:t>
      </w:r>
      <w:r>
        <w:fldChar w:fldCharType="begin"/>
      </w:r>
      <w:r w:rsidRPr="001E7329">
        <w:rPr>
          <w:lang w:val="fr-BE"/>
        </w:rPr>
        <w:instrText>HYPERLINK "https://climate.mit.edu/ask-mit/how-climate-change-affecting-weather-today"</w:instrText>
      </w:r>
      <w:r>
        <w:fldChar w:fldCharType="separate"/>
      </w:r>
      <w:r w:rsidRPr="00DC2C18">
        <w:rPr>
          <w:rStyle w:val="Hyperlink"/>
          <w:lang w:val="fr-BE"/>
        </w:rPr>
        <w:t>https://climate.mit.edu/ask-mit/how-climate-change-affecting-weather-today</w:t>
      </w:r>
      <w:r>
        <w:fldChar w:fldCharType="end"/>
      </w:r>
    </w:p>
    <w:p w14:paraId="1F4314C6" w14:textId="77777777" w:rsidR="00455E4D" w:rsidRPr="00DC2C18" w:rsidRDefault="00455E4D" w:rsidP="00455E4D">
      <w:pPr>
        <w:pStyle w:val="FootnoteText"/>
        <w:rPr>
          <w:lang w:val="fr-BE"/>
        </w:rPr>
      </w:pPr>
      <w:hyperlink r:id="rId3" w:history="1">
        <w:r w:rsidRPr="00DC2C18">
          <w:rPr>
            <w:rStyle w:val="Hyperlink"/>
            <w:lang w:val="fr-BE"/>
          </w:rPr>
          <w:t>https://science.nasa.gov/climate-change/extreme-weather/</w:t>
        </w:r>
      </w:hyperlink>
    </w:p>
  </w:footnote>
  <w:footnote w:id="12">
    <w:p w14:paraId="69772940" w14:textId="6DF02B43" w:rsidR="00FC6C48" w:rsidRPr="00525926" w:rsidRDefault="00FC6C48" w:rsidP="00FC6C48">
      <w:pPr>
        <w:pStyle w:val="FootnoteText"/>
      </w:pPr>
      <w:r>
        <w:rPr>
          <w:rStyle w:val="FootnoteReference"/>
        </w:rPr>
        <w:footnoteRef/>
      </w:r>
      <w:r w:rsidRPr="00525926">
        <w:t xml:space="preserve"> </w:t>
      </w:r>
      <w:r w:rsidRPr="00AF5BDD">
        <w:t>GASP 2026-2028</w:t>
      </w:r>
      <w:r w:rsidR="00AF041E" w:rsidRPr="00AF5BDD">
        <w:t>:</w:t>
      </w:r>
      <w:r w:rsidR="00AF041E">
        <w:t xml:space="preserve"> </w:t>
      </w:r>
      <w:hyperlink r:id="rId4" w:history="1">
        <w:r w:rsidR="00AF041E" w:rsidRPr="000F0116">
          <w:rPr>
            <w:rStyle w:val="Hyperlink"/>
          </w:rPr>
          <w:t>https://www.icao.int/GASP</w:t>
        </w:r>
      </w:hyperlink>
      <w:r w:rsidR="00AF041E">
        <w:t xml:space="preserve"> </w:t>
      </w:r>
    </w:p>
  </w:footnote>
  <w:footnote w:id="13">
    <w:p w14:paraId="1B7679B8" w14:textId="77777777" w:rsidR="00FC6C48" w:rsidRPr="00525926" w:rsidRDefault="00FC6C48" w:rsidP="00FC6C48">
      <w:pPr>
        <w:pStyle w:val="FootnoteText"/>
      </w:pPr>
      <w:r>
        <w:rPr>
          <w:rStyle w:val="FootnoteReference"/>
        </w:rPr>
        <w:footnoteRef/>
      </w:r>
      <w:r w:rsidRPr="00525926">
        <w:t xml:space="preserve"> The CICTT Taxonomy is found on the ICAO website at </w:t>
      </w:r>
      <w:hyperlink r:id="rId5" w:history="1">
        <w:r w:rsidRPr="003E3B1F">
          <w:rPr>
            <w:rStyle w:val="Hyperlink"/>
          </w:rPr>
          <w:t>https://www.icao.int/safety/airnavigation/AIG/Pages/Taxonomy.aspx</w:t>
        </w:r>
      </w:hyperlink>
      <w:r w:rsidRPr="00525926">
        <w:t>.</w:t>
      </w:r>
    </w:p>
  </w:footnote>
  <w:footnote w:id="14">
    <w:p w14:paraId="37315FDA" w14:textId="6AE41FB4" w:rsidR="00981D37" w:rsidRPr="00705C24" w:rsidRDefault="00981D37" w:rsidP="00981D37">
      <w:pPr>
        <w:pStyle w:val="FootnoteText"/>
      </w:pPr>
      <w:r>
        <w:rPr>
          <w:rStyle w:val="FootnoteReference"/>
        </w:rPr>
        <w:footnoteRef/>
      </w:r>
      <w:r w:rsidRPr="00705C24">
        <w:t xml:space="preserve"> </w:t>
      </w:r>
      <w:r w:rsidRPr="00705C24">
        <w:rPr>
          <w:sz w:val="16"/>
          <w:szCs w:val="22"/>
        </w:rPr>
        <w:t xml:space="preserve">As per iStars data taken on </w:t>
      </w:r>
      <w:r w:rsidR="006478DD">
        <w:rPr>
          <w:sz w:val="16"/>
          <w:szCs w:val="22"/>
        </w:rPr>
        <w:t>27</w:t>
      </w:r>
      <w:r w:rsidRPr="00705C24">
        <w:rPr>
          <w:sz w:val="16"/>
          <w:szCs w:val="22"/>
        </w:rPr>
        <w:t xml:space="preserve"> </w:t>
      </w:r>
      <w:r w:rsidR="006478DD">
        <w:rPr>
          <w:sz w:val="16"/>
          <w:szCs w:val="22"/>
        </w:rPr>
        <w:t xml:space="preserve">November </w:t>
      </w:r>
      <w:r w:rsidRPr="00705C24">
        <w:rPr>
          <w:sz w:val="16"/>
          <w:szCs w:val="22"/>
        </w:rPr>
        <w:t>2025</w:t>
      </w:r>
    </w:p>
  </w:footnote>
  <w:footnote w:id="15">
    <w:p w14:paraId="66D74BF5" w14:textId="40896E89" w:rsidR="00981D37" w:rsidRPr="00AF5932" w:rsidRDefault="00981D37" w:rsidP="00AF5932">
      <w:pPr>
        <w:rPr>
          <w:rFonts w:asciiTheme="minorHAnsi" w:hAnsiTheme="minorHAnsi" w:cstheme="minorHAnsi"/>
        </w:rPr>
      </w:pPr>
      <w:r>
        <w:rPr>
          <w:rStyle w:val="FootnoteReference"/>
        </w:rPr>
        <w:footnoteRef/>
      </w:r>
      <w:r w:rsidRPr="00705C24">
        <w:t xml:space="preserve"> </w:t>
      </w:r>
      <w:r w:rsidRPr="00AF5932">
        <w:rPr>
          <w:rFonts w:asciiTheme="minorHAnsi" w:hAnsiTheme="minorHAnsi" w:cstheme="minorHAnsi"/>
          <w:sz w:val="16"/>
        </w:rPr>
        <w:t>Eight audit areas pertaining to USOAP, that is, primary aviation legislation and civil aviation regulations (LEG); civil aviation organization (ORG); personnel licensing and training (PEL); aircraft operations (OPS); airworthiness of aircraft (AIR); aircraft accident and incident investigation (AIG); air navigation services (ANS); and aerodromes and ground aids (AGA).</w:t>
      </w:r>
    </w:p>
  </w:footnote>
  <w:footnote w:id="16">
    <w:p w14:paraId="4C520E03" w14:textId="239353E5" w:rsidR="00FE366F" w:rsidRPr="00FE366F" w:rsidRDefault="00FE366F">
      <w:pPr>
        <w:pStyle w:val="FootnoteText"/>
      </w:pPr>
      <w:r>
        <w:rPr>
          <w:rStyle w:val="FootnoteReference"/>
        </w:rPr>
        <w:footnoteRef/>
      </w:r>
      <w:r>
        <w:t xml:space="preserve"> </w:t>
      </w:r>
      <w:r w:rsidRPr="00FE366F">
        <w:t>https://eur-lex.europa.eu/eli/reg_impl/2018/1048/oj/eng</w:t>
      </w:r>
    </w:p>
  </w:footnote>
  <w:footnote w:id="17">
    <w:p w14:paraId="24956B67" w14:textId="77777777" w:rsidR="0003674C" w:rsidRPr="0090529B" w:rsidRDefault="0003674C" w:rsidP="001614AD">
      <w:pPr>
        <w:pStyle w:val="FootnoteText"/>
        <w:spacing w:after="40"/>
        <w:ind w:left="284" w:hanging="284"/>
        <w:jc w:val="both"/>
        <w:rPr>
          <w:lang w:val="en-US"/>
        </w:rPr>
      </w:pPr>
      <w:r w:rsidRPr="005D4D45">
        <w:rPr>
          <w:rStyle w:val="FootnoteReference"/>
          <w:sz w:val="18"/>
          <w:szCs w:val="18"/>
        </w:rPr>
        <w:footnoteRef/>
      </w:r>
      <w:r w:rsidRPr="005D4D45">
        <w:rPr>
          <w:sz w:val="18"/>
          <w:szCs w:val="18"/>
        </w:rPr>
        <w:t xml:space="preserve"> </w:t>
      </w:r>
      <w:r>
        <w:rPr>
          <w:sz w:val="18"/>
          <w:szCs w:val="18"/>
        </w:rPr>
        <w:tab/>
        <w:t>‘</w:t>
      </w:r>
      <w:r w:rsidRPr="005D4D45">
        <w:rPr>
          <w:sz w:val="18"/>
          <w:szCs w:val="18"/>
        </w:rPr>
        <w:t xml:space="preserve">Unmanned </w:t>
      </w:r>
      <w:r>
        <w:rPr>
          <w:sz w:val="18"/>
          <w:szCs w:val="18"/>
        </w:rPr>
        <w:t>a</w:t>
      </w:r>
      <w:r w:rsidRPr="005D4D45">
        <w:rPr>
          <w:sz w:val="18"/>
          <w:szCs w:val="18"/>
        </w:rPr>
        <w:t xml:space="preserve">ircraft </w:t>
      </w:r>
      <w:r>
        <w:rPr>
          <w:sz w:val="18"/>
          <w:szCs w:val="18"/>
        </w:rPr>
        <w:t>s</w:t>
      </w:r>
      <w:r w:rsidRPr="005D4D45">
        <w:rPr>
          <w:sz w:val="18"/>
          <w:szCs w:val="18"/>
        </w:rPr>
        <w:t>ystems (UAS)</w:t>
      </w:r>
      <w:r>
        <w:rPr>
          <w:sz w:val="18"/>
          <w:szCs w:val="18"/>
        </w:rPr>
        <w:t>’</w:t>
      </w:r>
      <w:r w:rsidRPr="005D4D45">
        <w:rPr>
          <w:sz w:val="18"/>
          <w:szCs w:val="18"/>
        </w:rPr>
        <w:t xml:space="preserve"> is the legal and technical term used in </w:t>
      </w:r>
      <w:r>
        <w:rPr>
          <w:sz w:val="18"/>
          <w:szCs w:val="18"/>
        </w:rPr>
        <w:t xml:space="preserve">the </w:t>
      </w:r>
      <w:r w:rsidRPr="005D4D45">
        <w:rPr>
          <w:sz w:val="18"/>
          <w:szCs w:val="18"/>
        </w:rPr>
        <w:t>EASA Basic Regulation</w:t>
      </w:r>
      <w:r>
        <w:rPr>
          <w:sz w:val="18"/>
          <w:szCs w:val="18"/>
        </w:rPr>
        <w:t xml:space="preserve"> as well as in the delegated and implementing acts adopted on the basis thereof</w:t>
      </w:r>
      <w:r w:rsidRPr="005D4D45">
        <w:rPr>
          <w:sz w:val="18"/>
          <w:szCs w:val="18"/>
        </w:rPr>
        <w:t xml:space="preserve">. </w:t>
      </w:r>
      <w:r>
        <w:rPr>
          <w:sz w:val="18"/>
          <w:szCs w:val="18"/>
        </w:rPr>
        <w:t>‘</w:t>
      </w:r>
      <w:r w:rsidRPr="005D4D45">
        <w:rPr>
          <w:sz w:val="18"/>
          <w:szCs w:val="18"/>
        </w:rPr>
        <w:t>Drones</w:t>
      </w:r>
      <w:r>
        <w:rPr>
          <w:sz w:val="18"/>
          <w:szCs w:val="18"/>
        </w:rPr>
        <w:t>’</w:t>
      </w:r>
      <w:r w:rsidRPr="005D4D45">
        <w:rPr>
          <w:sz w:val="18"/>
          <w:szCs w:val="18"/>
        </w:rPr>
        <w:t xml:space="preserve"> is the popular term used to be understood by persons with no aviation background. </w:t>
      </w:r>
      <w:r>
        <w:rPr>
          <w:sz w:val="18"/>
          <w:szCs w:val="18"/>
        </w:rPr>
        <w:t xml:space="preserve">Both </w:t>
      </w:r>
      <w:r w:rsidRPr="005D4D45">
        <w:rPr>
          <w:sz w:val="18"/>
          <w:szCs w:val="18"/>
        </w:rPr>
        <w:t xml:space="preserve">terms are used in EPAS and refer to the same thing. </w:t>
      </w:r>
    </w:p>
  </w:footnote>
  <w:footnote w:id="18">
    <w:p w14:paraId="35AA867C" w14:textId="6DA87CC6" w:rsidR="00CB1F72" w:rsidRPr="00CB1F72" w:rsidRDefault="00CB1F72">
      <w:pPr>
        <w:pStyle w:val="FootnoteText"/>
      </w:pPr>
      <w:r>
        <w:rPr>
          <w:rStyle w:val="FootnoteReference"/>
        </w:rPr>
        <w:footnoteRef/>
      </w:r>
      <w:r>
        <w:t xml:space="preserve"> It is recognized that </w:t>
      </w:r>
      <w:r w:rsidRPr="00CB1F72">
        <w:t>it would be beneficial to have an indicator that in addition to commercial scheduled operations also considers non-scheduled commercial operations</w:t>
      </w:r>
      <w:r>
        <w:t>. However</w:t>
      </w:r>
      <w:r w:rsidRPr="00CB1F72">
        <w:t xml:space="preserve">, </w:t>
      </w:r>
      <w:r>
        <w:t xml:space="preserve">due to absence of validated </w:t>
      </w:r>
      <w:r w:rsidRPr="00CB1F72">
        <w:t>exposure data (number of non-scheduled flight departure) for the whole EUR region</w:t>
      </w:r>
      <w:r>
        <w:t xml:space="preserve">, </w:t>
      </w:r>
      <w:r w:rsidRPr="00CB1F72">
        <w:t>it was decided to keep the accident rates only calculated for scheduled international commercial operations (passenger and cargo).</w:t>
      </w:r>
    </w:p>
  </w:footnote>
  <w:footnote w:id="19">
    <w:p w14:paraId="2A14F887" w14:textId="77777777" w:rsidR="00C574A4" w:rsidRPr="00A147CD" w:rsidRDefault="00C574A4" w:rsidP="000D1929">
      <w:pPr>
        <w:pStyle w:val="FootnoteText"/>
      </w:pPr>
      <w:r w:rsidRPr="00C136D3">
        <w:rPr>
          <w:rStyle w:val="FootnoteReference"/>
        </w:rPr>
        <w:footnoteRef/>
      </w:r>
      <w:r w:rsidRPr="00A147CD">
        <w:t xml:space="preserve"> PQ 2.051: Has the State established and implemented a mechanism to ensure that each safety oversight authority has sufficient financial resources to meet its national and international obligations?</w:t>
      </w:r>
    </w:p>
  </w:footnote>
  <w:footnote w:id="20">
    <w:p w14:paraId="3D89098A" w14:textId="6608EA79" w:rsidR="00AA7610" w:rsidRPr="0098643A" w:rsidRDefault="00AA7610" w:rsidP="000D1929">
      <w:pPr>
        <w:pStyle w:val="FootnoteText"/>
      </w:pPr>
      <w:r w:rsidRPr="00C136D3">
        <w:rPr>
          <w:rStyle w:val="FootnoteReference"/>
        </w:rPr>
        <w:footnoteRef/>
      </w:r>
      <w:r w:rsidRPr="00A147CD">
        <w:t xml:space="preserve"> The global average is calculated using Year 2025 as a baseline.</w:t>
      </w:r>
    </w:p>
  </w:footnote>
  <w:footnote w:id="21">
    <w:p w14:paraId="54E986B4" w14:textId="50334EC8" w:rsidR="00C574A4" w:rsidRDefault="00C574A4">
      <w:pPr>
        <w:pStyle w:val="FootnoteText"/>
      </w:pPr>
      <w:r>
        <w:rPr>
          <w:rStyle w:val="FootnoteReference"/>
        </w:rPr>
        <w:footnoteRef/>
      </w:r>
      <w:r>
        <w:t xml:space="preserve"> </w:t>
      </w:r>
      <w:r w:rsidRPr="009A34DC">
        <w:t>This goal should be considered met by EASA Member States as per Art 7 of Regulation (EU) 2018/1139. The implementation of this Article is monitored by EASA standardization activities.</w:t>
      </w:r>
    </w:p>
  </w:footnote>
  <w:footnote w:id="22">
    <w:p w14:paraId="42C9EBCF" w14:textId="14F89F5C" w:rsidR="00996DA7" w:rsidRDefault="00996DA7">
      <w:pPr>
        <w:pStyle w:val="FootnoteText"/>
      </w:pPr>
      <w:r>
        <w:rPr>
          <w:rStyle w:val="FootnoteReference"/>
        </w:rPr>
        <w:footnoteRef/>
      </w:r>
      <w:r>
        <w:t xml:space="preserve"> </w:t>
      </w:r>
      <w:r w:rsidRPr="009A34DC">
        <w:t>For EASA Member States the EPAS covers all common safety risks and emerging issues.</w:t>
      </w:r>
    </w:p>
  </w:footnote>
  <w:footnote w:id="23">
    <w:p w14:paraId="6172562B" w14:textId="77777777" w:rsidR="000D1929" w:rsidRPr="00136844" w:rsidRDefault="000D1929" w:rsidP="000D1929">
      <w:pPr>
        <w:pStyle w:val="FootnoteText"/>
      </w:pPr>
      <w:r>
        <w:rPr>
          <w:rStyle w:val="FootnoteReference"/>
        </w:rPr>
        <w:footnoteRef/>
      </w:r>
      <w:r w:rsidRPr="00136844">
        <w:t xml:space="preserve"> </w:t>
      </w:r>
      <w:r>
        <w:t>S</w:t>
      </w:r>
      <w:r w:rsidRPr="00136844">
        <w:t>uch as those responding to the increased demand for flying in the cities (e.g. ‘urban air mobility’) or those generated by the increased digitalisation in the aviation industry (virtual/ augmented reality, digital twins, etc.), the possible introduction of more autonomous vehicles and platforms, single-pilot operations and completely autonomous cargo aircraft</w:t>
      </w:r>
    </w:p>
  </w:footnote>
  <w:footnote w:id="24">
    <w:p w14:paraId="7A6092D3" w14:textId="77777777" w:rsidR="000D1929" w:rsidRPr="00136844" w:rsidRDefault="000D1929" w:rsidP="000D1929">
      <w:pPr>
        <w:pStyle w:val="FootnoteText"/>
        <w:rPr>
          <w:rStyle w:val="Hyperlink"/>
        </w:rPr>
      </w:pPr>
      <w:r>
        <w:rPr>
          <w:rStyle w:val="FootnoteReference"/>
        </w:rPr>
        <w:footnoteRef/>
      </w:r>
      <w:r w:rsidRPr="00136844">
        <w:t xml:space="preserve"> Source: SAFRAN and aviation’s electric future, press kit, 2019 Paris Air Show. SAFRAN. </w:t>
      </w:r>
      <w:r w:rsidRPr="00136844">
        <w:rPr>
          <w:rStyle w:val="Hyperlink"/>
        </w:rPr>
        <w:t>https://www.safran-</w:t>
      </w:r>
    </w:p>
    <w:p w14:paraId="65ED955F" w14:textId="77777777" w:rsidR="000D1929" w:rsidRPr="00136844" w:rsidRDefault="000D1929" w:rsidP="000D1929">
      <w:pPr>
        <w:pStyle w:val="FootnoteText"/>
      </w:pPr>
      <w:r w:rsidRPr="00136844">
        <w:rPr>
          <w:rStyle w:val="Hyperlink"/>
        </w:rPr>
        <w:t xml:space="preserve"> group.com/sites/group/files/dp_safran_bourget_2019_safran_and_aviations_electric_future_en.pdf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9638"/>
    </w:tblGrid>
    <w:tr w:rsidR="0003674C" w:rsidRPr="00941C4C" w14:paraId="65C8C380" w14:textId="77777777" w:rsidTr="00C73A41">
      <w:trPr>
        <w:trHeight w:val="488"/>
      </w:trPr>
      <w:tc>
        <w:tcPr>
          <w:tcW w:w="5000" w:type="pct"/>
        </w:tcPr>
        <w:p w14:paraId="5AC06C33" w14:textId="1BEAE857" w:rsidR="0003674C" w:rsidRDefault="0003674C" w:rsidP="00D53AD4">
          <w:pPr>
            <w:tabs>
              <w:tab w:val="left" w:pos="1769"/>
            </w:tabs>
            <w:jc w:val="right"/>
            <w:rPr>
              <w:rFonts w:asciiTheme="minorHAnsi" w:hAnsiTheme="minorHAnsi" w:cs="Arial"/>
              <w:b/>
              <w:i/>
              <w:sz w:val="24"/>
            </w:rPr>
          </w:pPr>
          <w:r w:rsidRPr="005505BD">
            <w:rPr>
              <w:rFonts w:asciiTheme="minorHAnsi" w:hAnsiTheme="minorHAnsi" w:cs="Arial"/>
              <w:b/>
              <w:i/>
              <w:sz w:val="24"/>
            </w:rPr>
            <w:t xml:space="preserve">EUR Regional Aviation Safety </w:t>
          </w:r>
          <w:r>
            <w:rPr>
              <w:rFonts w:asciiTheme="minorHAnsi" w:hAnsiTheme="minorHAnsi" w:cs="Arial"/>
              <w:b/>
              <w:i/>
              <w:sz w:val="24"/>
            </w:rPr>
            <w:t xml:space="preserve">Plan </w:t>
          </w:r>
          <w:r w:rsidRPr="005505BD">
            <w:rPr>
              <w:rFonts w:asciiTheme="minorHAnsi" w:hAnsiTheme="minorHAnsi" w:cs="Arial"/>
              <w:b/>
              <w:i/>
              <w:sz w:val="24"/>
            </w:rPr>
            <w:t>20</w:t>
          </w:r>
          <w:r>
            <w:rPr>
              <w:rFonts w:asciiTheme="minorHAnsi" w:hAnsiTheme="minorHAnsi" w:cs="Arial"/>
              <w:b/>
              <w:i/>
              <w:sz w:val="24"/>
            </w:rPr>
            <w:t>2</w:t>
          </w:r>
          <w:r w:rsidR="00555C58">
            <w:rPr>
              <w:rFonts w:asciiTheme="minorHAnsi" w:hAnsiTheme="minorHAnsi" w:cs="Arial"/>
              <w:b/>
              <w:i/>
              <w:sz w:val="24"/>
            </w:rPr>
            <w:t>6</w:t>
          </w:r>
          <w:r>
            <w:rPr>
              <w:rFonts w:asciiTheme="minorHAnsi" w:hAnsiTheme="minorHAnsi" w:cs="Arial"/>
              <w:b/>
              <w:i/>
              <w:sz w:val="24"/>
            </w:rPr>
            <w:t>-202</w:t>
          </w:r>
          <w:r w:rsidR="00555C58">
            <w:rPr>
              <w:rFonts w:asciiTheme="minorHAnsi" w:hAnsiTheme="minorHAnsi" w:cs="Arial"/>
              <w:b/>
              <w:i/>
              <w:sz w:val="24"/>
            </w:rPr>
            <w:t>8</w:t>
          </w:r>
        </w:p>
        <w:p w14:paraId="2303D9D7" w14:textId="5D73EF26" w:rsidR="0003674C" w:rsidRPr="002C57D4" w:rsidRDefault="00F5009B" w:rsidP="00D53AD4">
          <w:pPr>
            <w:tabs>
              <w:tab w:val="left" w:pos="1769"/>
            </w:tabs>
            <w:jc w:val="right"/>
            <w:rPr>
              <w:rFonts w:asciiTheme="minorHAnsi" w:hAnsiTheme="minorHAnsi" w:cs="Arial"/>
              <w:i/>
              <w:szCs w:val="20"/>
            </w:rPr>
          </w:pPr>
          <w:r>
            <w:rPr>
              <w:rFonts w:asciiTheme="minorHAnsi" w:hAnsiTheme="minorHAnsi" w:cs="Arial"/>
              <w:i/>
              <w:szCs w:val="20"/>
            </w:rPr>
            <w:t xml:space="preserve">Voume I: </w:t>
          </w:r>
          <w:r w:rsidR="0003674C">
            <w:rPr>
              <w:rFonts w:asciiTheme="minorHAnsi" w:hAnsiTheme="minorHAnsi" w:cs="Arial"/>
              <w:i/>
              <w:szCs w:val="20"/>
            </w:rPr>
            <w:t>Table of Contents</w:t>
          </w:r>
        </w:p>
      </w:tc>
    </w:tr>
  </w:tbl>
  <w:p w14:paraId="620100C1" w14:textId="77777777" w:rsidR="0003674C" w:rsidRPr="00240E85" w:rsidRDefault="0003674C" w:rsidP="0031669F">
    <w:pPr>
      <w:pStyle w:val="Header"/>
      <w:tabs>
        <w:tab w:val="clear" w:pos="4153"/>
        <w:tab w:val="clear" w:pos="8306"/>
        <w:tab w:val="left" w:pos="8449"/>
      </w:tabs>
      <w:rPr>
        <w:sz w:val="12"/>
        <w:szCs w:val="12"/>
      </w:rPr>
    </w:pPr>
    <w:r>
      <w:rPr>
        <w:sz w:val="12"/>
        <w:szCs w:val="12"/>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0" w:type="pct"/>
      <w:tblLook w:val="01E0" w:firstRow="1" w:lastRow="1" w:firstColumn="1" w:lastColumn="1" w:noHBand="0" w:noVBand="0"/>
    </w:tblPr>
    <w:tblGrid>
      <w:gridCol w:w="9850"/>
    </w:tblGrid>
    <w:tr w:rsidR="0003674C" w:rsidRPr="00941C4C" w14:paraId="46CC543D" w14:textId="77777777" w:rsidTr="00616DBC">
      <w:trPr>
        <w:trHeight w:val="488"/>
      </w:trPr>
      <w:tc>
        <w:tcPr>
          <w:tcW w:w="5000" w:type="pct"/>
        </w:tcPr>
        <w:p w14:paraId="2799F462" w14:textId="4D116ED1" w:rsidR="0003674C" w:rsidRDefault="0003674C" w:rsidP="00D9309D">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w:t>
          </w:r>
          <w:r w:rsidR="00DC4115">
            <w:rPr>
              <w:rFonts w:asciiTheme="minorHAnsi" w:hAnsiTheme="minorHAnsi" w:cs="Arial"/>
              <w:b/>
              <w:i/>
              <w:sz w:val="24"/>
            </w:rPr>
            <w:t>6</w:t>
          </w:r>
          <w:r w:rsidRPr="005505BD">
            <w:rPr>
              <w:rFonts w:asciiTheme="minorHAnsi" w:hAnsiTheme="minorHAnsi" w:cs="Arial"/>
              <w:b/>
              <w:i/>
              <w:sz w:val="24"/>
            </w:rPr>
            <w:t>–20</w:t>
          </w:r>
          <w:r>
            <w:rPr>
              <w:rFonts w:asciiTheme="minorHAnsi" w:hAnsiTheme="minorHAnsi" w:cs="Arial"/>
              <w:b/>
              <w:i/>
              <w:sz w:val="24"/>
            </w:rPr>
            <w:t>2</w:t>
          </w:r>
          <w:r w:rsidR="00DC4115">
            <w:rPr>
              <w:rFonts w:asciiTheme="minorHAnsi" w:hAnsiTheme="minorHAnsi" w:cs="Arial"/>
              <w:b/>
              <w:i/>
              <w:sz w:val="24"/>
            </w:rPr>
            <w:t>8</w:t>
          </w:r>
        </w:p>
        <w:p w14:paraId="77E27C6D" w14:textId="14CB09B5" w:rsidR="0003674C" w:rsidRPr="002C57D4" w:rsidRDefault="00DC4115" w:rsidP="00F553F5">
          <w:pPr>
            <w:tabs>
              <w:tab w:val="left" w:pos="1769"/>
            </w:tabs>
            <w:jc w:val="right"/>
            <w:rPr>
              <w:rFonts w:asciiTheme="minorHAnsi" w:hAnsiTheme="minorHAnsi" w:cs="Arial"/>
              <w:i/>
              <w:szCs w:val="20"/>
            </w:rPr>
          </w:pPr>
          <w:r>
            <w:rPr>
              <w:rFonts w:asciiTheme="minorHAnsi" w:hAnsiTheme="minorHAnsi" w:cs="Arial"/>
              <w:i/>
              <w:szCs w:val="20"/>
            </w:rPr>
            <w:t>Volume I - Appendix 1: safety action template</w:t>
          </w:r>
        </w:p>
      </w:tc>
    </w:tr>
  </w:tbl>
  <w:p w14:paraId="27C87EB4" w14:textId="77777777" w:rsidR="0003674C" w:rsidRPr="00240E85" w:rsidRDefault="0003674C" w:rsidP="0031669F">
    <w:pPr>
      <w:pStyle w:val="Header"/>
      <w:tabs>
        <w:tab w:val="clear" w:pos="4153"/>
        <w:tab w:val="clear" w:pos="8306"/>
        <w:tab w:val="left" w:pos="8449"/>
      </w:tabs>
      <w:rPr>
        <w:sz w:val="12"/>
        <w:szCs w:val="12"/>
      </w:rPr>
    </w:pPr>
    <w:r>
      <w:rPr>
        <w:sz w:val="12"/>
        <w:szCs w:val="1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EF50" w14:textId="0FD01493" w:rsidR="001E7329" w:rsidRPr="001E7329" w:rsidRDefault="001E7329" w:rsidP="001E7329">
    <w:pPr>
      <w:pStyle w:val="Header"/>
      <w:tabs>
        <w:tab w:val="clear" w:pos="8306"/>
        <w:tab w:val="right" w:pos="9540"/>
      </w:tabs>
      <w:rPr>
        <w:lang w:val="fr-FR"/>
      </w:rPr>
    </w:pPr>
    <w:r>
      <w:rPr>
        <w:lang w:val="fr-FR"/>
      </w:rPr>
      <w:tab/>
    </w:r>
    <w:r>
      <w:rPr>
        <w:lang w:val="fr-FR"/>
      </w:rPr>
      <w:tab/>
      <w:t>Appendix D to EASPG/7 Report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D759" w14:textId="77777777" w:rsidR="000F0153" w:rsidRDefault="000F0153" w:rsidP="000F0153">
    <w:pPr>
      <w:jc w:val="right"/>
      <w:rPr>
        <w:rFonts w:asciiTheme="minorHAnsi" w:hAnsiTheme="minorHAnsi" w:cs="Arial"/>
        <w:b/>
        <w:i/>
        <w:sz w:val="24"/>
      </w:rPr>
    </w:pP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26-2028</w:t>
    </w:r>
  </w:p>
  <w:p w14:paraId="5B82227D" w14:textId="46B589FA" w:rsidR="0003674C" w:rsidRPr="000F0153" w:rsidRDefault="000F0153" w:rsidP="000F0153">
    <w:pPr>
      <w:pStyle w:val="Header"/>
      <w:jc w:val="right"/>
    </w:pPr>
    <w:r>
      <w:rPr>
        <w:rFonts w:asciiTheme="minorHAnsi" w:hAnsiTheme="minorHAnsi" w:cs="Arial"/>
        <w:i/>
        <w:szCs w:val="20"/>
      </w:rPr>
      <w:t>Volume I: Introduction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865" w:type="pct"/>
      <w:tblLook w:val="01E0" w:firstRow="1" w:lastRow="1" w:firstColumn="1" w:lastColumn="1" w:noHBand="0" w:noVBand="0"/>
    </w:tblPr>
    <w:tblGrid>
      <w:gridCol w:w="936"/>
      <w:gridCol w:w="8781"/>
    </w:tblGrid>
    <w:tr w:rsidR="0003674C" w:rsidRPr="00941C4C" w14:paraId="35B75210" w14:textId="77777777" w:rsidTr="00211903">
      <w:trPr>
        <w:trHeight w:val="488"/>
      </w:trPr>
      <w:tc>
        <w:tcPr>
          <w:tcW w:w="467" w:type="pct"/>
        </w:tcPr>
        <w:p w14:paraId="62D38604" w14:textId="77777777" w:rsidR="0003674C" w:rsidRPr="00941C4C" w:rsidRDefault="0003674C" w:rsidP="0023605E">
          <w:pPr>
            <w:rPr>
              <w:rFonts w:cs="Arial"/>
              <w:sz w:val="18"/>
            </w:rPr>
          </w:pPr>
          <w:r w:rsidRPr="004E4C49">
            <w:rPr>
              <w:rFonts w:cs="Verdana"/>
              <w:noProof/>
              <w:color w:val="000000"/>
              <w:lang w:val="en-US" w:eastAsia="en-US"/>
            </w:rPr>
            <w:drawing>
              <wp:inline distT="0" distB="0" distL="0" distR="0" wp14:anchorId="6407AE69" wp14:editId="15BAD26E">
                <wp:extent cx="457200" cy="457200"/>
                <wp:effectExtent l="0" t="0" r="0" b="0"/>
                <wp:docPr id="1280996935" name="Picture 1280996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tc>
      <w:tc>
        <w:tcPr>
          <w:tcW w:w="4533" w:type="pct"/>
        </w:tcPr>
        <w:p w14:paraId="67C9294F" w14:textId="77777777" w:rsidR="0003674C" w:rsidRDefault="0003674C" w:rsidP="00127D0F">
          <w:pPr>
            <w:rPr>
              <w:rFonts w:asciiTheme="minorHAnsi" w:hAnsiTheme="minorHAnsi" w:cs="Arial"/>
              <w:b/>
              <w:i/>
              <w:sz w:val="24"/>
            </w:rPr>
          </w:pPr>
          <w:r>
            <w:rPr>
              <w:rFonts w:asciiTheme="minorHAnsi" w:hAnsiTheme="minorHAnsi" w:cs="Arial"/>
              <w:b/>
              <w:i/>
              <w:sz w:val="24"/>
            </w:rPr>
            <w:t xml:space="preserve">Draft 01 </w:t>
          </w:r>
          <w:r w:rsidRPr="005505BD">
            <w:rPr>
              <w:rFonts w:asciiTheme="minorHAnsi" w:hAnsiTheme="minorHAnsi" w:cs="Arial"/>
              <w:b/>
              <w:i/>
              <w:sz w:val="24"/>
            </w:rPr>
            <w:t xml:space="preserve">EUR Regional Aviation Safety Plan </w:t>
          </w:r>
          <w:r>
            <w:rPr>
              <w:rFonts w:asciiTheme="minorHAnsi" w:hAnsiTheme="minorHAnsi" w:cs="Arial"/>
              <w:b/>
              <w:i/>
              <w:sz w:val="24"/>
            </w:rPr>
            <w:t xml:space="preserve">(RASP) </w:t>
          </w:r>
          <w:r w:rsidRPr="005505BD">
            <w:rPr>
              <w:rFonts w:asciiTheme="minorHAnsi" w:hAnsiTheme="minorHAnsi" w:cs="Arial"/>
              <w:b/>
              <w:i/>
              <w:sz w:val="24"/>
            </w:rPr>
            <w:t>20</w:t>
          </w:r>
          <w:r>
            <w:rPr>
              <w:rFonts w:asciiTheme="minorHAnsi" w:hAnsiTheme="minorHAnsi" w:cs="Arial"/>
              <w:b/>
              <w:i/>
              <w:sz w:val="24"/>
            </w:rPr>
            <w:t>20</w:t>
          </w:r>
          <w:r w:rsidRPr="005505BD">
            <w:rPr>
              <w:rFonts w:asciiTheme="minorHAnsi" w:hAnsiTheme="minorHAnsi" w:cs="Arial"/>
              <w:b/>
              <w:i/>
              <w:sz w:val="24"/>
            </w:rPr>
            <w:t>–20</w:t>
          </w:r>
          <w:r>
            <w:rPr>
              <w:rFonts w:asciiTheme="minorHAnsi" w:hAnsiTheme="minorHAnsi" w:cs="Arial"/>
              <w:b/>
              <w:i/>
              <w:sz w:val="24"/>
            </w:rPr>
            <w:t>24</w:t>
          </w:r>
        </w:p>
        <w:p w14:paraId="2B429E15" w14:textId="76C35454" w:rsidR="0003674C" w:rsidRPr="002C57D4" w:rsidRDefault="0003674C" w:rsidP="0023605E">
          <w:pPr>
            <w:rPr>
              <w:rFonts w:asciiTheme="minorHAnsi" w:hAnsiTheme="minorHAnsi" w:cs="Arial"/>
              <w:i/>
              <w:szCs w:val="20"/>
            </w:rPr>
          </w:pPr>
          <w:r>
            <w:rPr>
              <w:rFonts w:asciiTheme="minorHAnsi" w:hAnsiTheme="minorHAnsi" w:cs="Arial"/>
              <w:i/>
              <w:szCs w:val="20"/>
            </w:rPr>
            <w:t>EUR RASP development and structure</w:t>
          </w:r>
        </w:p>
      </w:tc>
    </w:tr>
  </w:tbl>
  <w:p w14:paraId="54D3FFC3" w14:textId="77777777" w:rsidR="0003674C" w:rsidRPr="00BF3A2C" w:rsidRDefault="0003674C" w:rsidP="00BF3A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4" w:type="pct"/>
      <w:tblLook w:val="01E0" w:firstRow="1" w:lastRow="1" w:firstColumn="1" w:lastColumn="1" w:noHBand="0" w:noVBand="0"/>
    </w:tblPr>
    <w:tblGrid>
      <w:gridCol w:w="9781"/>
    </w:tblGrid>
    <w:tr w:rsidR="008A46F5" w:rsidRPr="00941C4C" w14:paraId="69F2C35D" w14:textId="77777777" w:rsidTr="005D798C">
      <w:trPr>
        <w:trHeight w:val="488"/>
      </w:trPr>
      <w:tc>
        <w:tcPr>
          <w:tcW w:w="5000" w:type="pct"/>
        </w:tcPr>
        <w:p w14:paraId="5DDDF657" w14:textId="77777777" w:rsidR="008A46F5" w:rsidRDefault="008A46F5" w:rsidP="00127DCA">
          <w:pPr>
            <w:tabs>
              <w:tab w:val="left" w:pos="1769"/>
            </w:tabs>
            <w:jc w:val="right"/>
            <w:rPr>
              <w:rFonts w:asciiTheme="minorHAnsi" w:hAnsiTheme="minorHAnsi" w:cs="Arial"/>
              <w:b/>
              <w:i/>
              <w:sz w:val="24"/>
            </w:rPr>
          </w:pPr>
          <w:r w:rsidRPr="005505BD">
            <w:rPr>
              <w:rFonts w:asciiTheme="minorHAnsi" w:hAnsiTheme="minorHAnsi" w:cs="Arial"/>
              <w:b/>
              <w:i/>
              <w:sz w:val="24"/>
            </w:rPr>
            <w:t xml:space="preserve">EUR Regional Aviation Safety </w:t>
          </w:r>
          <w:r>
            <w:rPr>
              <w:rFonts w:asciiTheme="minorHAnsi" w:hAnsiTheme="minorHAnsi" w:cs="Arial"/>
              <w:b/>
              <w:i/>
              <w:sz w:val="24"/>
            </w:rPr>
            <w:t xml:space="preserve">Plan </w:t>
          </w:r>
          <w:r w:rsidRPr="005505BD">
            <w:rPr>
              <w:rFonts w:asciiTheme="minorHAnsi" w:hAnsiTheme="minorHAnsi" w:cs="Arial"/>
              <w:b/>
              <w:i/>
              <w:sz w:val="24"/>
            </w:rPr>
            <w:t>20</w:t>
          </w:r>
          <w:r>
            <w:rPr>
              <w:rFonts w:asciiTheme="minorHAnsi" w:hAnsiTheme="minorHAnsi" w:cs="Arial"/>
              <w:b/>
              <w:i/>
              <w:sz w:val="24"/>
            </w:rPr>
            <w:t>26-2028</w:t>
          </w:r>
        </w:p>
        <w:p w14:paraId="27405467" w14:textId="30DE2362" w:rsidR="008A46F5" w:rsidRPr="002C57D4" w:rsidRDefault="00F5009B" w:rsidP="00127DCA">
          <w:pPr>
            <w:tabs>
              <w:tab w:val="left" w:pos="1769"/>
            </w:tabs>
            <w:jc w:val="right"/>
            <w:rPr>
              <w:rFonts w:asciiTheme="minorHAnsi" w:hAnsiTheme="minorHAnsi" w:cs="Arial"/>
              <w:i/>
              <w:szCs w:val="20"/>
            </w:rPr>
          </w:pPr>
          <w:r>
            <w:rPr>
              <w:rFonts w:asciiTheme="minorHAnsi" w:hAnsiTheme="minorHAnsi" w:cs="Arial"/>
              <w:i/>
              <w:szCs w:val="20"/>
            </w:rPr>
            <w:t xml:space="preserve">Volume I: </w:t>
          </w:r>
          <w:r w:rsidRPr="00F5009B">
            <w:rPr>
              <w:rFonts w:asciiTheme="minorHAnsi" w:hAnsiTheme="minorHAnsi" w:cs="Arial"/>
              <w:i/>
              <w:szCs w:val="20"/>
            </w:rPr>
            <w:t>Purpose of the EUR RASP</w:t>
          </w:r>
        </w:p>
      </w:tc>
    </w:tr>
  </w:tbl>
  <w:p w14:paraId="213DBFB9" w14:textId="77777777" w:rsidR="008A46F5" w:rsidRPr="00240E85" w:rsidRDefault="008A46F5" w:rsidP="0031669F">
    <w:pPr>
      <w:pStyle w:val="Header"/>
      <w:tabs>
        <w:tab w:val="clear" w:pos="4153"/>
        <w:tab w:val="clear" w:pos="8306"/>
        <w:tab w:val="left" w:pos="8449"/>
      </w:tabs>
      <w:rPr>
        <w:sz w:val="12"/>
        <w:szCs w:val="12"/>
      </w:rPr>
    </w:pPr>
    <w:r>
      <w:rPr>
        <w:sz w:val="12"/>
        <w:szCs w:val="1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4" w:type="pct"/>
      <w:tblLook w:val="01E0" w:firstRow="1" w:lastRow="1" w:firstColumn="1" w:lastColumn="1" w:noHBand="0" w:noVBand="0"/>
    </w:tblPr>
    <w:tblGrid>
      <w:gridCol w:w="9781"/>
    </w:tblGrid>
    <w:tr w:rsidR="00F5009B" w:rsidRPr="00941C4C" w14:paraId="0DF46AD2" w14:textId="77777777" w:rsidTr="005D798C">
      <w:trPr>
        <w:trHeight w:val="488"/>
      </w:trPr>
      <w:tc>
        <w:tcPr>
          <w:tcW w:w="5000" w:type="pct"/>
        </w:tcPr>
        <w:p w14:paraId="1EEB04C7" w14:textId="77777777" w:rsidR="00F5009B" w:rsidRDefault="00F5009B" w:rsidP="00127DCA">
          <w:pPr>
            <w:tabs>
              <w:tab w:val="left" w:pos="1769"/>
            </w:tabs>
            <w:jc w:val="right"/>
            <w:rPr>
              <w:rFonts w:asciiTheme="minorHAnsi" w:hAnsiTheme="minorHAnsi" w:cs="Arial"/>
              <w:b/>
              <w:i/>
              <w:sz w:val="24"/>
            </w:rPr>
          </w:pPr>
          <w:r w:rsidRPr="005505BD">
            <w:rPr>
              <w:rFonts w:asciiTheme="minorHAnsi" w:hAnsiTheme="minorHAnsi" w:cs="Arial"/>
              <w:b/>
              <w:i/>
              <w:sz w:val="24"/>
            </w:rPr>
            <w:t xml:space="preserve">EUR Regional Aviation Safety </w:t>
          </w:r>
          <w:r>
            <w:rPr>
              <w:rFonts w:asciiTheme="minorHAnsi" w:hAnsiTheme="minorHAnsi" w:cs="Arial"/>
              <w:b/>
              <w:i/>
              <w:sz w:val="24"/>
            </w:rPr>
            <w:t xml:space="preserve">Plan </w:t>
          </w:r>
          <w:r w:rsidRPr="005505BD">
            <w:rPr>
              <w:rFonts w:asciiTheme="minorHAnsi" w:hAnsiTheme="minorHAnsi" w:cs="Arial"/>
              <w:b/>
              <w:i/>
              <w:sz w:val="24"/>
            </w:rPr>
            <w:t>20</w:t>
          </w:r>
          <w:r>
            <w:rPr>
              <w:rFonts w:asciiTheme="minorHAnsi" w:hAnsiTheme="minorHAnsi" w:cs="Arial"/>
              <w:b/>
              <w:i/>
              <w:sz w:val="24"/>
            </w:rPr>
            <w:t>26-2028</w:t>
          </w:r>
        </w:p>
        <w:p w14:paraId="3922FA98" w14:textId="471EAFA8" w:rsidR="00F5009B" w:rsidRPr="002C57D4" w:rsidRDefault="00F5009B" w:rsidP="00127DCA">
          <w:pPr>
            <w:tabs>
              <w:tab w:val="left" w:pos="1769"/>
            </w:tabs>
            <w:jc w:val="right"/>
            <w:rPr>
              <w:rFonts w:asciiTheme="minorHAnsi" w:hAnsiTheme="minorHAnsi" w:cs="Arial"/>
              <w:i/>
              <w:szCs w:val="20"/>
            </w:rPr>
          </w:pPr>
          <w:r>
            <w:rPr>
              <w:rFonts w:asciiTheme="minorHAnsi" w:hAnsiTheme="minorHAnsi" w:cs="Arial"/>
              <w:i/>
              <w:szCs w:val="20"/>
            </w:rPr>
            <w:t xml:space="preserve">Volume I: </w:t>
          </w:r>
          <w:r w:rsidRPr="00F5009B">
            <w:rPr>
              <w:rFonts w:asciiTheme="minorHAnsi" w:hAnsiTheme="minorHAnsi" w:cs="Arial"/>
              <w:i/>
              <w:szCs w:val="20"/>
            </w:rPr>
            <w:t>EUR Regional operational safety risks</w:t>
          </w:r>
        </w:p>
      </w:tc>
    </w:tr>
  </w:tbl>
  <w:p w14:paraId="74B2A658" w14:textId="77777777" w:rsidR="00F5009B" w:rsidRPr="00240E85" w:rsidRDefault="00F5009B" w:rsidP="0031669F">
    <w:pPr>
      <w:pStyle w:val="Header"/>
      <w:tabs>
        <w:tab w:val="clear" w:pos="4153"/>
        <w:tab w:val="clear" w:pos="8306"/>
        <w:tab w:val="left" w:pos="8449"/>
      </w:tabs>
      <w:rPr>
        <w:sz w:val="12"/>
        <w:szCs w:val="12"/>
      </w:rPr>
    </w:pPr>
    <w:r>
      <w:rPr>
        <w:sz w:val="12"/>
        <w:szCs w:val="12"/>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4" w:type="pct"/>
      <w:tblLook w:val="01E0" w:firstRow="1" w:lastRow="1" w:firstColumn="1" w:lastColumn="1" w:noHBand="0" w:noVBand="0"/>
    </w:tblPr>
    <w:tblGrid>
      <w:gridCol w:w="9781"/>
    </w:tblGrid>
    <w:tr w:rsidR="00A24DF9" w:rsidRPr="00941C4C" w14:paraId="4A9C8E10" w14:textId="77777777" w:rsidTr="005D798C">
      <w:trPr>
        <w:trHeight w:val="488"/>
      </w:trPr>
      <w:tc>
        <w:tcPr>
          <w:tcW w:w="5000" w:type="pct"/>
        </w:tcPr>
        <w:p w14:paraId="3C7FA296" w14:textId="77777777" w:rsidR="00A24DF9" w:rsidRDefault="00A24DF9" w:rsidP="00127DCA">
          <w:pPr>
            <w:tabs>
              <w:tab w:val="left" w:pos="1769"/>
            </w:tabs>
            <w:jc w:val="right"/>
            <w:rPr>
              <w:rFonts w:asciiTheme="minorHAnsi" w:hAnsiTheme="minorHAnsi" w:cs="Arial"/>
              <w:b/>
              <w:i/>
              <w:sz w:val="24"/>
            </w:rPr>
          </w:pPr>
          <w:r w:rsidRPr="005505BD">
            <w:rPr>
              <w:rFonts w:asciiTheme="minorHAnsi" w:hAnsiTheme="minorHAnsi" w:cs="Arial"/>
              <w:b/>
              <w:i/>
              <w:sz w:val="24"/>
            </w:rPr>
            <w:t xml:space="preserve">EUR Regional Aviation Safety </w:t>
          </w:r>
          <w:r>
            <w:rPr>
              <w:rFonts w:asciiTheme="minorHAnsi" w:hAnsiTheme="minorHAnsi" w:cs="Arial"/>
              <w:b/>
              <w:i/>
              <w:sz w:val="24"/>
            </w:rPr>
            <w:t xml:space="preserve">Plan </w:t>
          </w:r>
          <w:r w:rsidRPr="005505BD">
            <w:rPr>
              <w:rFonts w:asciiTheme="minorHAnsi" w:hAnsiTheme="minorHAnsi" w:cs="Arial"/>
              <w:b/>
              <w:i/>
              <w:sz w:val="24"/>
            </w:rPr>
            <w:t>20</w:t>
          </w:r>
          <w:r>
            <w:rPr>
              <w:rFonts w:asciiTheme="minorHAnsi" w:hAnsiTheme="minorHAnsi" w:cs="Arial"/>
              <w:b/>
              <w:i/>
              <w:sz w:val="24"/>
            </w:rPr>
            <w:t>26-2028</w:t>
          </w:r>
        </w:p>
        <w:p w14:paraId="078D1648" w14:textId="66B2B427" w:rsidR="00A24DF9" w:rsidRPr="002C57D4" w:rsidRDefault="00C83953" w:rsidP="00127DCA">
          <w:pPr>
            <w:tabs>
              <w:tab w:val="left" w:pos="1769"/>
            </w:tabs>
            <w:jc w:val="right"/>
            <w:rPr>
              <w:rFonts w:asciiTheme="minorHAnsi" w:hAnsiTheme="minorHAnsi" w:cs="Arial"/>
              <w:i/>
              <w:szCs w:val="20"/>
            </w:rPr>
          </w:pPr>
          <w:r>
            <w:rPr>
              <w:rFonts w:asciiTheme="minorHAnsi" w:hAnsiTheme="minorHAnsi" w:cs="Arial"/>
              <w:i/>
              <w:szCs w:val="20"/>
            </w:rPr>
            <w:t xml:space="preserve">Volume I: </w:t>
          </w:r>
          <w:r w:rsidRPr="00C83953">
            <w:rPr>
              <w:rFonts w:asciiTheme="minorHAnsi" w:hAnsiTheme="minorHAnsi" w:cs="Arial"/>
              <w:i/>
              <w:szCs w:val="20"/>
            </w:rPr>
            <w:t>Organisational challenges</w:t>
          </w:r>
        </w:p>
      </w:tc>
    </w:tr>
  </w:tbl>
  <w:p w14:paraId="7302E7B5" w14:textId="77777777" w:rsidR="00A24DF9" w:rsidRPr="00240E85" w:rsidRDefault="00A24DF9" w:rsidP="0031669F">
    <w:pPr>
      <w:pStyle w:val="Header"/>
      <w:tabs>
        <w:tab w:val="clear" w:pos="4153"/>
        <w:tab w:val="clear" w:pos="8306"/>
        <w:tab w:val="left" w:pos="8449"/>
      </w:tabs>
      <w:rPr>
        <w:sz w:val="12"/>
        <w:szCs w:val="12"/>
      </w:rPr>
    </w:pPr>
    <w:r>
      <w:rPr>
        <w:sz w:val="12"/>
        <w:szCs w:val="12"/>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4" w:type="pct"/>
      <w:tblLook w:val="01E0" w:firstRow="1" w:lastRow="1" w:firstColumn="1" w:lastColumn="1" w:noHBand="0" w:noVBand="0"/>
    </w:tblPr>
    <w:tblGrid>
      <w:gridCol w:w="9781"/>
    </w:tblGrid>
    <w:tr w:rsidR="000D1929" w:rsidRPr="00941C4C" w14:paraId="0502950E" w14:textId="77777777" w:rsidTr="005D798C">
      <w:trPr>
        <w:trHeight w:val="488"/>
      </w:trPr>
      <w:tc>
        <w:tcPr>
          <w:tcW w:w="5000" w:type="pct"/>
        </w:tcPr>
        <w:p w14:paraId="66884CEE" w14:textId="77777777" w:rsidR="000D1929" w:rsidRDefault="000D1929" w:rsidP="00127DCA">
          <w:pPr>
            <w:tabs>
              <w:tab w:val="left" w:pos="1769"/>
            </w:tabs>
            <w:jc w:val="right"/>
            <w:rPr>
              <w:rFonts w:asciiTheme="minorHAnsi" w:hAnsiTheme="minorHAnsi" w:cs="Arial"/>
              <w:b/>
              <w:i/>
              <w:sz w:val="24"/>
            </w:rPr>
          </w:pPr>
          <w:r w:rsidRPr="005505BD">
            <w:rPr>
              <w:rFonts w:asciiTheme="minorHAnsi" w:hAnsiTheme="minorHAnsi" w:cs="Arial"/>
              <w:b/>
              <w:i/>
              <w:sz w:val="24"/>
            </w:rPr>
            <w:t xml:space="preserve">EUR Regional Aviation Safety </w:t>
          </w:r>
          <w:r>
            <w:rPr>
              <w:rFonts w:asciiTheme="minorHAnsi" w:hAnsiTheme="minorHAnsi" w:cs="Arial"/>
              <w:b/>
              <w:i/>
              <w:sz w:val="24"/>
            </w:rPr>
            <w:t xml:space="preserve">Plan </w:t>
          </w:r>
          <w:r w:rsidRPr="005505BD">
            <w:rPr>
              <w:rFonts w:asciiTheme="minorHAnsi" w:hAnsiTheme="minorHAnsi" w:cs="Arial"/>
              <w:b/>
              <w:i/>
              <w:sz w:val="24"/>
            </w:rPr>
            <w:t>20</w:t>
          </w:r>
          <w:r>
            <w:rPr>
              <w:rFonts w:asciiTheme="minorHAnsi" w:hAnsiTheme="minorHAnsi" w:cs="Arial"/>
              <w:b/>
              <w:i/>
              <w:sz w:val="24"/>
            </w:rPr>
            <w:t>26-2028</w:t>
          </w:r>
        </w:p>
        <w:p w14:paraId="15FC2420" w14:textId="663DF611" w:rsidR="000D1929" w:rsidRPr="002C57D4" w:rsidRDefault="00C83953" w:rsidP="00127DCA">
          <w:pPr>
            <w:tabs>
              <w:tab w:val="left" w:pos="1769"/>
            </w:tabs>
            <w:jc w:val="right"/>
            <w:rPr>
              <w:rFonts w:asciiTheme="minorHAnsi" w:hAnsiTheme="minorHAnsi" w:cs="Arial"/>
              <w:i/>
              <w:szCs w:val="20"/>
            </w:rPr>
          </w:pPr>
          <w:r>
            <w:rPr>
              <w:rFonts w:asciiTheme="minorHAnsi" w:hAnsiTheme="minorHAnsi" w:cs="Arial"/>
              <w:i/>
              <w:szCs w:val="20"/>
            </w:rPr>
            <w:t xml:space="preserve">Volume I: </w:t>
          </w:r>
          <w:r w:rsidR="000D1929" w:rsidRPr="008A46F5">
            <w:rPr>
              <w:rFonts w:asciiTheme="minorHAnsi" w:hAnsiTheme="minorHAnsi" w:cs="Arial"/>
              <w:i/>
              <w:szCs w:val="20"/>
            </w:rPr>
            <w:t>Strategic direction for the management of aviation safety</w:t>
          </w:r>
        </w:p>
      </w:tc>
    </w:tr>
  </w:tbl>
  <w:p w14:paraId="4F1CDAC1" w14:textId="77777777" w:rsidR="000D1929" w:rsidRPr="00240E85" w:rsidRDefault="000D1929" w:rsidP="0031669F">
    <w:pPr>
      <w:pStyle w:val="Header"/>
      <w:tabs>
        <w:tab w:val="clear" w:pos="4153"/>
        <w:tab w:val="clear" w:pos="8306"/>
        <w:tab w:val="left" w:pos="8449"/>
      </w:tabs>
      <w:rPr>
        <w:sz w:val="12"/>
        <w:szCs w:val="12"/>
      </w:rPr>
    </w:pPr>
    <w:r>
      <w:rPr>
        <w:sz w:val="12"/>
        <w:szCs w:val="12"/>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74" w:type="pct"/>
      <w:tblLook w:val="01E0" w:firstRow="1" w:lastRow="1" w:firstColumn="1" w:lastColumn="1" w:noHBand="0" w:noVBand="0"/>
    </w:tblPr>
    <w:tblGrid>
      <w:gridCol w:w="9781"/>
    </w:tblGrid>
    <w:tr w:rsidR="00C83953" w:rsidRPr="00941C4C" w14:paraId="6E9EF784" w14:textId="77777777" w:rsidTr="005D798C">
      <w:trPr>
        <w:trHeight w:val="488"/>
      </w:trPr>
      <w:tc>
        <w:tcPr>
          <w:tcW w:w="5000" w:type="pct"/>
        </w:tcPr>
        <w:p w14:paraId="4ACCE9BD" w14:textId="77777777" w:rsidR="00C83953" w:rsidRDefault="00C83953" w:rsidP="00127DCA">
          <w:pPr>
            <w:tabs>
              <w:tab w:val="left" w:pos="1769"/>
            </w:tabs>
            <w:jc w:val="right"/>
            <w:rPr>
              <w:rFonts w:asciiTheme="minorHAnsi" w:hAnsiTheme="minorHAnsi" w:cs="Arial"/>
              <w:b/>
              <w:i/>
              <w:sz w:val="24"/>
            </w:rPr>
          </w:pPr>
          <w:r w:rsidRPr="005505BD">
            <w:rPr>
              <w:rFonts w:asciiTheme="minorHAnsi" w:hAnsiTheme="minorHAnsi" w:cs="Arial"/>
              <w:b/>
              <w:i/>
              <w:sz w:val="24"/>
            </w:rPr>
            <w:t xml:space="preserve">EUR Regional Aviation Safety </w:t>
          </w:r>
          <w:r>
            <w:rPr>
              <w:rFonts w:asciiTheme="minorHAnsi" w:hAnsiTheme="minorHAnsi" w:cs="Arial"/>
              <w:b/>
              <w:i/>
              <w:sz w:val="24"/>
            </w:rPr>
            <w:t xml:space="preserve">Plan </w:t>
          </w:r>
          <w:r w:rsidRPr="005505BD">
            <w:rPr>
              <w:rFonts w:asciiTheme="minorHAnsi" w:hAnsiTheme="minorHAnsi" w:cs="Arial"/>
              <w:b/>
              <w:i/>
              <w:sz w:val="24"/>
            </w:rPr>
            <w:t>20</w:t>
          </w:r>
          <w:r>
            <w:rPr>
              <w:rFonts w:asciiTheme="minorHAnsi" w:hAnsiTheme="minorHAnsi" w:cs="Arial"/>
              <w:b/>
              <w:i/>
              <w:sz w:val="24"/>
            </w:rPr>
            <w:t>26-2028</w:t>
          </w:r>
        </w:p>
        <w:p w14:paraId="322FCB82" w14:textId="65FBBFE6" w:rsidR="00C83953" w:rsidRPr="002C57D4" w:rsidRDefault="00C83953" w:rsidP="00127DCA">
          <w:pPr>
            <w:tabs>
              <w:tab w:val="left" w:pos="1769"/>
            </w:tabs>
            <w:jc w:val="right"/>
            <w:rPr>
              <w:rFonts w:asciiTheme="minorHAnsi" w:hAnsiTheme="minorHAnsi" w:cs="Arial"/>
              <w:i/>
              <w:szCs w:val="20"/>
            </w:rPr>
          </w:pPr>
          <w:r>
            <w:rPr>
              <w:rFonts w:asciiTheme="minorHAnsi" w:hAnsiTheme="minorHAnsi" w:cs="Arial"/>
              <w:i/>
              <w:szCs w:val="20"/>
            </w:rPr>
            <w:t xml:space="preserve">Volume I: </w:t>
          </w:r>
          <w:r w:rsidR="007F3B3F" w:rsidRPr="007F3B3F">
            <w:rPr>
              <w:rFonts w:asciiTheme="minorHAnsi" w:hAnsiTheme="minorHAnsi" w:cs="Arial"/>
              <w:i/>
              <w:szCs w:val="20"/>
            </w:rPr>
            <w:t>Monitoring implementation of the EUR RASP</w:t>
          </w:r>
        </w:p>
      </w:tc>
    </w:tr>
  </w:tbl>
  <w:p w14:paraId="638A731E" w14:textId="77777777" w:rsidR="00C83953" w:rsidRPr="00240E85" w:rsidRDefault="00C83953" w:rsidP="0031669F">
    <w:pPr>
      <w:pStyle w:val="Header"/>
      <w:tabs>
        <w:tab w:val="clear" w:pos="4153"/>
        <w:tab w:val="clear" w:pos="8306"/>
        <w:tab w:val="left" w:pos="8449"/>
      </w:tabs>
      <w:rPr>
        <w:sz w:val="12"/>
        <w:szCs w:val="12"/>
      </w:rPr>
    </w:pPr>
    <w:r>
      <w:rPr>
        <w:sz w:val="12"/>
        <w:szCs w:val="1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620E37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7F1E4F"/>
    <w:multiLevelType w:val="hybridMultilevel"/>
    <w:tmpl w:val="9E9A0BD4"/>
    <w:lvl w:ilvl="0" w:tplc="95D6BA5E">
      <w:start w:val="1"/>
      <w:numFmt w:val="decimal"/>
      <w:lvlText w:val="R-ORC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DA551D"/>
    <w:multiLevelType w:val="multilevel"/>
    <w:tmpl w:val="AEDCCF9A"/>
    <w:styleLink w:val="Style1import"/>
    <w:lvl w:ilvl="0">
      <w:start w:val="1"/>
      <w:numFmt w:val="decimal"/>
      <w:lvlText w:val="%1."/>
      <w:lvlJc w:val="left"/>
      <w:pPr>
        <w:ind w:left="431" w:hanging="43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5" w:hanging="57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19" w:hanging="71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3" w:hanging="86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7" w:hanging="10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151" w:hanging="115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295" w:hanging="129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439" w:hanging="143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583" w:hanging="15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6051C69"/>
    <w:multiLevelType w:val="hybridMultilevel"/>
    <w:tmpl w:val="11DA575E"/>
    <w:lvl w:ilvl="0" w:tplc="1E48FAA2">
      <w:start w:val="1"/>
      <w:numFmt w:val="decimal"/>
      <w:pStyle w:val="HEADERCHAPTER1"/>
      <w:lvlText w:val="1.%1."/>
      <w:lvlJc w:val="left"/>
      <w:pPr>
        <w:tabs>
          <w:tab w:val="num" w:pos="454"/>
        </w:tabs>
        <w:ind w:left="454" w:hanging="45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6C55E8C"/>
    <w:multiLevelType w:val="hybridMultilevel"/>
    <w:tmpl w:val="5AE45FA8"/>
    <w:lvl w:ilvl="0" w:tplc="CE762820">
      <w:start w:val="1"/>
      <w:numFmt w:val="decimal"/>
      <w:lvlText w:val="(%1)"/>
      <w:lvlJc w:val="left"/>
      <w:pPr>
        <w:tabs>
          <w:tab w:val="num" w:pos="360"/>
        </w:tabs>
        <w:ind w:left="360" w:hanging="360"/>
      </w:pPr>
      <w:rPr>
        <w:rFonts w:asciiTheme="minorHAnsi" w:hAnsiTheme="minorHAnsi" w:cstheme="minorHAnsi" w:hint="default"/>
        <w:i/>
        <w:color w:val="C0000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B83AD4"/>
    <w:multiLevelType w:val="multilevel"/>
    <w:tmpl w:val="A9721710"/>
    <w:styleLink w:val="ATberschriftennummeriert"/>
    <w:lvl w:ilvl="0">
      <w:start w:val="1"/>
      <w:numFmt w:val="decimal"/>
      <w:pStyle w:val="1nummeriert"/>
      <w:lvlText w:val="%1"/>
      <w:lvlJc w:val="left"/>
      <w:pPr>
        <w:tabs>
          <w:tab w:val="num" w:pos="567"/>
        </w:tabs>
        <w:ind w:left="0" w:firstLine="0"/>
      </w:pPr>
      <w:rPr>
        <w:rFonts w:hint="default"/>
      </w:rPr>
    </w:lvl>
    <w:lvl w:ilvl="1">
      <w:start w:val="1"/>
      <w:numFmt w:val="decimal"/>
      <w:pStyle w:val="2nummeriert"/>
      <w:lvlText w:val="%1.%2"/>
      <w:lvlJc w:val="left"/>
      <w:pPr>
        <w:tabs>
          <w:tab w:val="num" w:pos="567"/>
        </w:tabs>
        <w:ind w:left="0" w:firstLine="0"/>
      </w:pPr>
      <w:rPr>
        <w:rFonts w:hint="default"/>
      </w:rPr>
    </w:lvl>
    <w:lvl w:ilvl="2">
      <w:start w:val="1"/>
      <w:numFmt w:val="decimal"/>
      <w:pStyle w:val="3nummeriert"/>
      <w:lvlText w:val="%1.%2.%3"/>
      <w:lvlJc w:val="left"/>
      <w:pPr>
        <w:tabs>
          <w:tab w:val="num" w:pos="709"/>
        </w:tabs>
        <w:ind w:left="0" w:firstLine="0"/>
      </w:pPr>
      <w:rPr>
        <w:rFonts w:hint="default"/>
      </w:rPr>
    </w:lvl>
    <w:lvl w:ilvl="3">
      <w:start w:val="1"/>
      <w:numFmt w:val="decimal"/>
      <w:pStyle w:val="4nummeriert"/>
      <w:lvlText w:val="%1.%2.%3.%4"/>
      <w:lvlJc w:val="left"/>
      <w:pPr>
        <w:tabs>
          <w:tab w:val="num" w:pos="839"/>
        </w:tabs>
        <w:ind w:left="0" w:firstLine="0"/>
      </w:pPr>
      <w:rPr>
        <w:rFonts w:hint="default"/>
      </w:rPr>
    </w:lvl>
    <w:lvl w:ilvl="4">
      <w:start w:val="1"/>
      <w:numFmt w:val="decimal"/>
      <w:pStyle w:val="5nummeriert"/>
      <w:lvlText w:val="%1.%2.%3.%4.%5"/>
      <w:lvlJc w:val="left"/>
      <w:pPr>
        <w:tabs>
          <w:tab w:val="num" w:pos="1077"/>
        </w:tabs>
        <w:ind w:left="0" w:firstLine="0"/>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6" w15:restartNumberingAfterBreak="0">
    <w:nsid w:val="0AC27145"/>
    <w:multiLevelType w:val="multilevel"/>
    <w:tmpl w:val="73587C2C"/>
    <w:lvl w:ilvl="0">
      <w:start w:val="1"/>
      <w:numFmt w:val="decimal"/>
      <w:pStyle w:val="HEADERCHAPTER2"/>
      <w:lvlText w:val="2.%1."/>
      <w:lvlJc w:val="left"/>
      <w:pPr>
        <w:tabs>
          <w:tab w:val="num" w:pos="454"/>
        </w:tabs>
        <w:ind w:left="454" w:hanging="454"/>
      </w:pPr>
      <w:rPr>
        <w:rFonts w:hint="default"/>
        <w:b/>
        <w:i w:val="0"/>
      </w:rPr>
    </w:lvl>
    <w:lvl w:ilvl="1">
      <w:start w:val="1"/>
      <w:numFmt w:val="decimal"/>
      <w:lvlRestart w:val="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CB82323"/>
    <w:multiLevelType w:val="hybridMultilevel"/>
    <w:tmpl w:val="6F24302C"/>
    <w:lvl w:ilvl="0" w:tplc="5F96667C">
      <w:start w:val="1"/>
      <w:numFmt w:val="decimal"/>
      <w:pStyle w:val="HEADERCHAPTER3"/>
      <w:lvlText w:val="3.%1."/>
      <w:lvlJc w:val="left"/>
      <w:pPr>
        <w:tabs>
          <w:tab w:val="num" w:pos="454"/>
        </w:tabs>
        <w:ind w:left="454" w:hanging="45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8E11EFE"/>
    <w:multiLevelType w:val="multilevel"/>
    <w:tmpl w:val="B5867A96"/>
    <w:lvl w:ilvl="0">
      <w:start w:val="1"/>
      <w:numFmt w:val="decimal"/>
      <w:pStyle w:val="IcaoEurNatsection"/>
      <w:lvlText w:val="%1."/>
      <w:lvlJc w:val="left"/>
      <w:pPr>
        <w:ind w:left="851" w:hanging="851"/>
      </w:pPr>
      <w:rPr>
        <w:rFonts w:hint="default"/>
        <w:b/>
        <w:i w:val="0"/>
        <w:sz w:val="22"/>
      </w:rPr>
    </w:lvl>
    <w:lvl w:ilvl="1">
      <w:start w:val="1"/>
      <w:numFmt w:val="decimal"/>
      <w:pStyle w:val="IcaoEurNatPara"/>
      <w:lvlText w:val="%1.%2"/>
      <w:lvlJc w:val="left"/>
      <w:pPr>
        <w:ind w:left="1418" w:hanging="1418"/>
      </w:pPr>
      <w:rPr>
        <w:rFonts w:ascii="Times New Roman" w:hAnsi="Times New Roman" w:hint="default"/>
        <w:b w:val="0"/>
        <w:i w:val="0"/>
        <w:sz w:val="22"/>
      </w:rPr>
    </w:lvl>
    <w:lvl w:ilvl="2">
      <w:start w:val="1"/>
      <w:numFmt w:val="decimal"/>
      <w:lvlText w:val="R-HRC %3."/>
      <w:lvlJc w:val="left"/>
      <w:pPr>
        <w:ind w:left="1637" w:hanging="360"/>
      </w:pPr>
      <w:rPr>
        <w:rFonts w:hint="default"/>
      </w:rPr>
    </w:lvl>
    <w:lvl w:ilvl="3">
      <w:start w:val="1"/>
      <w:numFmt w:val="lowerRoman"/>
      <w:pStyle w:val="IcaoEurNatSubSubParaiiiiii"/>
      <w:lvlText w:val="%4."/>
      <w:lvlJc w:val="right"/>
      <w:pPr>
        <w:ind w:left="1701" w:hanging="283"/>
      </w:pPr>
      <w:rPr>
        <w:rFonts w:hint="default"/>
      </w:rPr>
    </w:lvl>
    <w:lvl w:ilvl="4">
      <w:start w:val="1"/>
      <w:numFmt w:val="none"/>
      <w:lvlText w:val="-"/>
      <w:lvlJc w:val="left"/>
      <w:pPr>
        <w:ind w:left="1843"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943584F"/>
    <w:multiLevelType w:val="multilevel"/>
    <w:tmpl w:val="2E62B34A"/>
    <w:lvl w:ilvl="0">
      <w:start w:val="1"/>
      <w:numFmt w:val="decimal"/>
      <w:lvlText w:val="Section %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D8A7968"/>
    <w:multiLevelType w:val="multilevel"/>
    <w:tmpl w:val="2E62B34A"/>
    <w:numStyleLink w:val="Style1"/>
  </w:abstractNum>
  <w:abstractNum w:abstractNumId="11" w15:restartNumberingAfterBreak="0">
    <w:nsid w:val="1DD06A7B"/>
    <w:multiLevelType w:val="multilevel"/>
    <w:tmpl w:val="DA3E352A"/>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numFmt w:val="bullet"/>
      <w:lvlText w:val="-"/>
      <w:lvlJc w:val="left"/>
      <w:pPr>
        <w:tabs>
          <w:tab w:val="num" w:pos="720"/>
        </w:tabs>
        <w:ind w:left="0" w:firstLine="0"/>
      </w:pPr>
      <w:rPr>
        <w:rFonts w:ascii="Calibri" w:eastAsiaTheme="minorHAnsi" w:hAnsi="Calibri" w:cs="Calibri" w:hint="default"/>
      </w:r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38736D1"/>
    <w:multiLevelType w:val="hybridMultilevel"/>
    <w:tmpl w:val="3DA204AE"/>
    <w:lvl w:ilvl="0" w:tplc="6346D5CC">
      <w:start w:val="1"/>
      <w:numFmt w:val="decimal"/>
      <w:lvlText w:val="R-ORG %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A43064D"/>
    <w:multiLevelType w:val="hybridMultilevel"/>
    <w:tmpl w:val="056412D2"/>
    <w:lvl w:ilvl="0" w:tplc="B1FED53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C491A96"/>
    <w:multiLevelType w:val="multilevel"/>
    <w:tmpl w:val="DD7C6A56"/>
    <w:lvl w:ilvl="0">
      <w:start w:val="1"/>
      <w:numFmt w:val="decimal"/>
      <w:pStyle w:val="AgendaItemnr"/>
      <w:lvlText w:val="%1."/>
      <w:lvlJc w:val="left"/>
      <w:pPr>
        <w:tabs>
          <w:tab w:val="num" w:pos="397"/>
        </w:tabs>
        <w:ind w:left="397" w:hanging="397"/>
      </w:pPr>
      <w:rPr>
        <w:rFonts w:ascii="Verdana" w:hAnsi="Verdana"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29B215D"/>
    <w:multiLevelType w:val="hybridMultilevel"/>
    <w:tmpl w:val="50B8F496"/>
    <w:styleLink w:val="Style8import"/>
    <w:lvl w:ilvl="0" w:tplc="9FB2FA4C">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F941046">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BFC789A">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538190C">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38014EC">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4EAD36">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0C3124">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AACFA8">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804B916">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3950D88"/>
    <w:multiLevelType w:val="hybridMultilevel"/>
    <w:tmpl w:val="D158D6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10468D"/>
    <w:multiLevelType w:val="multilevel"/>
    <w:tmpl w:val="23C6CFB0"/>
    <w:lvl w:ilvl="0">
      <w:start w:val="1"/>
      <w:numFmt w:val="decimal"/>
      <w:pStyle w:val="Level01"/>
      <w:lvlText w:val="%1."/>
      <w:lvlJc w:val="left"/>
      <w:pPr>
        <w:ind w:left="360" w:hanging="360"/>
      </w:pPr>
      <w:rPr>
        <w:rFonts w:hint="default"/>
        <w:b/>
        <w:sz w:val="32"/>
      </w:rPr>
    </w:lvl>
    <w:lvl w:ilvl="1">
      <w:start w:val="1"/>
      <w:numFmt w:val="decimal"/>
      <w:lvlText w:val="%1.%2."/>
      <w:lvlJc w:val="left"/>
      <w:pPr>
        <w:ind w:left="792" w:hanging="432"/>
      </w:pPr>
      <w:rPr>
        <w:b/>
        <w:sz w:val="28"/>
      </w:rPr>
    </w:lvl>
    <w:lvl w:ilvl="2">
      <w:start w:val="1"/>
      <w:numFmt w:val="decimal"/>
      <w:lvlText w:val="%1.%2.%3."/>
      <w:lvlJc w:val="left"/>
      <w:pPr>
        <w:ind w:left="1224" w:hanging="504"/>
      </w:pPr>
      <w:rPr>
        <w:b/>
        <w:sz w:val="24"/>
      </w:rPr>
    </w:lvl>
    <w:lvl w:ilvl="3">
      <w:start w:val="1"/>
      <w:numFmt w:val="decimal"/>
      <w:lvlText w:val="%1.%2.%3.%4."/>
      <w:lvlJc w:val="left"/>
      <w:pPr>
        <w:ind w:left="1728" w:hanging="648"/>
      </w:pPr>
      <w:rPr>
        <w:sz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684571"/>
    <w:multiLevelType w:val="hybridMultilevel"/>
    <w:tmpl w:val="7F1A922A"/>
    <w:styleLink w:val="Style7import"/>
    <w:lvl w:ilvl="0" w:tplc="DF52DAD0">
      <w:start w:val="1"/>
      <w:numFmt w:val="decimal"/>
      <w:lvlText w:val="%1."/>
      <w:lvlJc w:val="left"/>
      <w:pPr>
        <w:tabs>
          <w:tab w:val="left" w:pos="3828"/>
        </w:tabs>
        <w:ind w:left="7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041F04">
      <w:start w:val="1"/>
      <w:numFmt w:val="lowerLetter"/>
      <w:lvlText w:val="%2."/>
      <w:lvlJc w:val="left"/>
      <w:pPr>
        <w:tabs>
          <w:tab w:val="left" w:pos="3828"/>
        </w:tabs>
        <w:ind w:left="14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56EE0C">
      <w:start w:val="1"/>
      <w:numFmt w:val="lowerRoman"/>
      <w:lvlText w:val="%3."/>
      <w:lvlJc w:val="left"/>
      <w:pPr>
        <w:tabs>
          <w:tab w:val="left" w:pos="3828"/>
        </w:tabs>
        <w:ind w:left="220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5E796E">
      <w:start w:val="1"/>
      <w:numFmt w:val="decimal"/>
      <w:lvlText w:val="%4."/>
      <w:lvlJc w:val="left"/>
      <w:pPr>
        <w:tabs>
          <w:tab w:val="left" w:pos="3828"/>
        </w:tabs>
        <w:ind w:left="29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8AC9AC">
      <w:start w:val="1"/>
      <w:numFmt w:val="lowerLetter"/>
      <w:lvlText w:val="%5."/>
      <w:lvlJc w:val="left"/>
      <w:pPr>
        <w:tabs>
          <w:tab w:val="left" w:pos="3828"/>
        </w:tabs>
        <w:ind w:left="36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003AE2">
      <w:start w:val="1"/>
      <w:numFmt w:val="lowerRoman"/>
      <w:lvlText w:val="%6."/>
      <w:lvlJc w:val="left"/>
      <w:pPr>
        <w:tabs>
          <w:tab w:val="left" w:pos="3828"/>
        </w:tabs>
        <w:ind w:left="436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6A6ABDC">
      <w:start w:val="1"/>
      <w:numFmt w:val="decimal"/>
      <w:lvlText w:val="%7."/>
      <w:lvlJc w:val="left"/>
      <w:pPr>
        <w:tabs>
          <w:tab w:val="left" w:pos="3828"/>
        </w:tabs>
        <w:ind w:left="50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E28374">
      <w:start w:val="1"/>
      <w:numFmt w:val="lowerLetter"/>
      <w:lvlText w:val="%8."/>
      <w:lvlJc w:val="left"/>
      <w:pPr>
        <w:tabs>
          <w:tab w:val="left" w:pos="3828"/>
        </w:tabs>
        <w:ind w:left="580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807962">
      <w:start w:val="1"/>
      <w:numFmt w:val="lowerRoman"/>
      <w:lvlText w:val="%9."/>
      <w:lvlJc w:val="left"/>
      <w:pPr>
        <w:tabs>
          <w:tab w:val="left" w:pos="3828"/>
        </w:tabs>
        <w:ind w:left="652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245028E"/>
    <w:multiLevelType w:val="hybridMultilevel"/>
    <w:tmpl w:val="3C588FDA"/>
    <w:lvl w:ilvl="0" w:tplc="A3A43F88">
      <w:start w:val="1"/>
      <w:numFmt w:val="bullet"/>
      <w:lvlText w:val="—"/>
      <w:lvlJc w:val="left"/>
      <w:pPr>
        <w:ind w:left="1440"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48A33F8"/>
    <w:multiLevelType w:val="hybridMultilevel"/>
    <w:tmpl w:val="DFAA2004"/>
    <w:lvl w:ilvl="0" w:tplc="A3A43F88">
      <w:start w:val="1"/>
      <w:numFmt w:val="bullet"/>
      <w:lvlText w:val="—"/>
      <w:lvlJc w:val="left"/>
      <w:pPr>
        <w:ind w:left="720" w:hanging="360"/>
      </w:pPr>
      <w:rPr>
        <w:rFonts w:ascii="Calibri" w:hAnsi="Calibri"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1630B5"/>
    <w:multiLevelType w:val="multilevel"/>
    <w:tmpl w:val="2E62B34A"/>
    <w:styleLink w:val="Style1"/>
    <w:lvl w:ilvl="0">
      <w:start w:val="1"/>
      <w:numFmt w:val="decimal"/>
      <w:pStyle w:val="Heading1"/>
      <w:lvlText w:val="Section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5C0170F"/>
    <w:multiLevelType w:val="multilevel"/>
    <w:tmpl w:val="253830BE"/>
    <w:lvl w:ilvl="0">
      <w:start w:val="1"/>
      <w:numFmt w:val="decimal"/>
      <w:pStyle w:val="StyleVerdana10ptCentered"/>
      <w:lvlText w:val="2.%1"/>
      <w:lvlJc w:val="left"/>
      <w:pPr>
        <w:tabs>
          <w:tab w:val="num" w:pos="360"/>
        </w:tabs>
        <w:ind w:left="360" w:hanging="360"/>
      </w:pPr>
      <w:rPr>
        <w:rFonts w:hint="default"/>
      </w:rPr>
    </w:lvl>
    <w:lvl w:ilvl="1">
      <w:start w:val="1"/>
      <w:numFmt w:val="decimal"/>
      <w:lvlRestart w:val="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641107"/>
    <w:multiLevelType w:val="hybridMultilevel"/>
    <w:tmpl w:val="692EA4D2"/>
    <w:lvl w:ilvl="0" w:tplc="E8D017C6">
      <w:start w:val="1"/>
      <w:numFmt w:val="bullet"/>
      <w:pStyle w:val="Bullet2"/>
      <w:lvlText w:val=""/>
      <w:lvlJc w:val="left"/>
      <w:pPr>
        <w:tabs>
          <w:tab w:val="num" w:pos="397"/>
        </w:tabs>
        <w:ind w:left="794" w:hanging="397"/>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956489"/>
    <w:multiLevelType w:val="hybridMultilevel"/>
    <w:tmpl w:val="36D4AE58"/>
    <w:lvl w:ilvl="0" w:tplc="FFFFFFFF">
      <w:start w:val="1"/>
      <w:numFmt w:val="decimal"/>
      <w:lvlText w:val="R-EMI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7F3842"/>
    <w:multiLevelType w:val="hybridMultilevel"/>
    <w:tmpl w:val="12B043A4"/>
    <w:lvl w:ilvl="0" w:tplc="56BCBB4A">
      <w:start w:val="9"/>
      <w:numFmt w:val="lowerLetter"/>
      <w:lvlText w:val="%1."/>
      <w:lvlJc w:val="left"/>
      <w:pPr>
        <w:ind w:left="144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B264CD"/>
    <w:multiLevelType w:val="hybridMultilevel"/>
    <w:tmpl w:val="A5AAF068"/>
    <w:lvl w:ilvl="0" w:tplc="652A5EA6">
      <w:start w:val="1"/>
      <w:numFmt w:val="decimal"/>
      <w:pStyle w:val="HEADERCHAPTER4"/>
      <w:lvlText w:val="4.%1."/>
      <w:lvlJc w:val="left"/>
      <w:pPr>
        <w:tabs>
          <w:tab w:val="num" w:pos="454"/>
        </w:tabs>
        <w:ind w:left="454" w:hanging="45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9D062F"/>
    <w:multiLevelType w:val="hybridMultilevel"/>
    <w:tmpl w:val="C5C824BA"/>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881F68"/>
    <w:multiLevelType w:val="hybridMultilevel"/>
    <w:tmpl w:val="B1FE10C6"/>
    <w:lvl w:ilvl="0" w:tplc="896443A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8A74164"/>
    <w:multiLevelType w:val="hybridMultilevel"/>
    <w:tmpl w:val="07EAE7A6"/>
    <w:lvl w:ilvl="0" w:tplc="F07EBD7E">
      <w:start w:val="1"/>
      <w:numFmt w:val="bullet"/>
      <w:pStyle w:val="Bullet1"/>
      <w:lvlText w:val=""/>
      <w:lvlJc w:val="left"/>
      <w:pPr>
        <w:tabs>
          <w:tab w:val="num" w:pos="397"/>
        </w:tabs>
        <w:ind w:left="397" w:hanging="397"/>
      </w:pPr>
      <w:rPr>
        <w:rFonts w:ascii="Wingdings 2" w:hAnsi="Wingdings 2"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135BED"/>
    <w:multiLevelType w:val="hybridMultilevel"/>
    <w:tmpl w:val="36D4AE58"/>
    <w:lvl w:ilvl="0" w:tplc="42145F34">
      <w:start w:val="1"/>
      <w:numFmt w:val="decimal"/>
      <w:lvlText w:val="R-EMI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DD1B57"/>
    <w:multiLevelType w:val="hybridMultilevel"/>
    <w:tmpl w:val="897A6E9E"/>
    <w:lvl w:ilvl="0" w:tplc="E95E560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CA49FF"/>
    <w:multiLevelType w:val="hybridMultilevel"/>
    <w:tmpl w:val="2C12FA52"/>
    <w:lvl w:ilvl="0" w:tplc="553C5694">
      <w:start w:val="2"/>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C060D162">
      <w:start w:val="1"/>
      <w:numFmt w:val="decimal"/>
      <w:lvlText w:val="%3."/>
      <w:lvlJc w:val="left"/>
      <w:pPr>
        <w:ind w:left="2685" w:hanging="70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2FC37CB"/>
    <w:multiLevelType w:val="hybridMultilevel"/>
    <w:tmpl w:val="CB2A9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53C933C">
      <w:start w:val="4"/>
      <w:numFmt w:val="bullet"/>
      <w:lvlText w:val="-"/>
      <w:lvlJc w:val="left"/>
      <w:pPr>
        <w:ind w:left="2160" w:hanging="360"/>
      </w:pPr>
      <w:rPr>
        <w:rFonts w:ascii="Calibri" w:eastAsia="Times New Roman"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294F77"/>
    <w:multiLevelType w:val="hybridMultilevel"/>
    <w:tmpl w:val="B55E514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6C15750"/>
    <w:multiLevelType w:val="hybridMultilevel"/>
    <w:tmpl w:val="AACA85A8"/>
    <w:lvl w:ilvl="0" w:tplc="52C4C0D2">
      <w:start w:val="1"/>
      <w:numFmt w:val="decimal"/>
      <w:pStyle w:val="Level04"/>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pStyle w:val="Level04"/>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D81B1F"/>
    <w:multiLevelType w:val="hybridMultilevel"/>
    <w:tmpl w:val="2F58B3E6"/>
    <w:styleLink w:val="Style2import"/>
    <w:lvl w:ilvl="0" w:tplc="FA6C915E">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6EE2F4">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32807A">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274BDFA">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74E572">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BA27FF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AAC72C0">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067466">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10C3586">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EFE49B1"/>
    <w:multiLevelType w:val="hybridMultilevel"/>
    <w:tmpl w:val="94ECA0D2"/>
    <w:lvl w:ilvl="0" w:tplc="BB508340">
      <w:start w:val="1"/>
      <w:numFmt w:val="lowerLetter"/>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5615B01"/>
    <w:multiLevelType w:val="hybridMultilevel"/>
    <w:tmpl w:val="0D68D2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D22B43"/>
    <w:multiLevelType w:val="hybridMultilevel"/>
    <w:tmpl w:val="160658CE"/>
    <w:lvl w:ilvl="0" w:tplc="CD06F28A">
      <w:start w:val="1"/>
      <w:numFmt w:val="bullet"/>
      <w:lvlText w:val=""/>
      <w:lvlJc w:val="left"/>
      <w:pPr>
        <w:ind w:left="720" w:hanging="360"/>
      </w:pPr>
      <w:rPr>
        <w:rFonts w:ascii="Symbol" w:hAnsi="Symbol" w:hint="default"/>
      </w:rPr>
    </w:lvl>
    <w:lvl w:ilvl="1" w:tplc="40BCF390">
      <w:numFmt w:val="bullet"/>
      <w:lvlText w:val="•"/>
      <w:lvlJc w:val="left"/>
      <w:pPr>
        <w:ind w:left="1785" w:hanging="705"/>
      </w:pPr>
      <w:rPr>
        <w:rFonts w:ascii="Corbel" w:eastAsiaTheme="minorHAnsi" w:hAnsi="Corbel" w:cstheme="minorBidi" w:hint="default"/>
      </w:rPr>
    </w:lvl>
    <w:lvl w:ilvl="2" w:tplc="7310D03A">
      <w:numFmt w:val="bullet"/>
      <w:lvlText w:val="—"/>
      <w:lvlJc w:val="left"/>
      <w:pPr>
        <w:ind w:left="2160" w:hanging="360"/>
      </w:pPr>
      <w:rPr>
        <w:rFonts w:ascii="Corbel" w:eastAsiaTheme="minorHAnsi" w:hAnsi="Corbel" w:cstheme="minorBid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8588577">
    <w:abstractNumId w:val="6"/>
  </w:num>
  <w:num w:numId="2" w16cid:durableId="1659110796">
    <w:abstractNumId w:val="22"/>
  </w:num>
  <w:num w:numId="3" w16cid:durableId="1132868104">
    <w:abstractNumId w:val="3"/>
  </w:num>
  <w:num w:numId="4" w16cid:durableId="1976442448">
    <w:abstractNumId w:val="7"/>
  </w:num>
  <w:num w:numId="5" w16cid:durableId="1522740635">
    <w:abstractNumId w:val="26"/>
  </w:num>
  <w:num w:numId="6" w16cid:durableId="545488845">
    <w:abstractNumId w:val="14"/>
  </w:num>
  <w:num w:numId="7" w16cid:durableId="1384718290">
    <w:abstractNumId w:val="29"/>
  </w:num>
  <w:num w:numId="8" w16cid:durableId="1619333861">
    <w:abstractNumId w:val="23"/>
  </w:num>
  <w:num w:numId="9" w16cid:durableId="567806177">
    <w:abstractNumId w:val="2"/>
  </w:num>
  <w:num w:numId="10" w16cid:durableId="1543203334">
    <w:abstractNumId w:val="36"/>
  </w:num>
  <w:num w:numId="11" w16cid:durableId="1141848994">
    <w:abstractNumId w:val="18"/>
  </w:num>
  <w:num w:numId="12" w16cid:durableId="1420638022">
    <w:abstractNumId w:val="15"/>
  </w:num>
  <w:num w:numId="13" w16cid:durableId="1028875785">
    <w:abstractNumId w:val="33"/>
  </w:num>
  <w:num w:numId="14" w16cid:durableId="146216171">
    <w:abstractNumId w:val="0"/>
  </w:num>
  <w:num w:numId="15" w16cid:durableId="400952016">
    <w:abstractNumId w:val="17"/>
  </w:num>
  <w:num w:numId="16" w16cid:durableId="2072265946">
    <w:abstractNumId w:val="20"/>
  </w:num>
  <w:num w:numId="17" w16cid:durableId="1882593936">
    <w:abstractNumId w:val="35"/>
  </w:num>
  <w:num w:numId="18" w16cid:durableId="1601646013">
    <w:abstractNumId w:val="31"/>
  </w:num>
  <w:num w:numId="19" w16cid:durableId="1254126579">
    <w:abstractNumId w:val="16"/>
  </w:num>
  <w:num w:numId="20" w16cid:durableId="2095932351">
    <w:abstractNumId w:val="4"/>
  </w:num>
  <w:num w:numId="21" w16cid:durableId="163934484">
    <w:abstractNumId w:val="11"/>
  </w:num>
  <w:num w:numId="22" w16cid:durableId="243801828">
    <w:abstractNumId w:val="8"/>
  </w:num>
  <w:num w:numId="23" w16cid:durableId="1341855693">
    <w:abstractNumId w:val="5"/>
  </w:num>
  <w:num w:numId="24" w16cid:durableId="474030585">
    <w:abstractNumId w:val="39"/>
  </w:num>
  <w:num w:numId="25" w16cid:durableId="1868759342">
    <w:abstractNumId w:val="34"/>
  </w:num>
  <w:num w:numId="26" w16cid:durableId="5400919">
    <w:abstractNumId w:val="37"/>
  </w:num>
  <w:num w:numId="27" w16cid:durableId="2029672909">
    <w:abstractNumId w:val="25"/>
  </w:num>
  <w:num w:numId="28" w16cid:durableId="684358772">
    <w:abstractNumId w:val="27"/>
  </w:num>
  <w:num w:numId="29" w16cid:durableId="1230648698">
    <w:abstractNumId w:val="32"/>
  </w:num>
  <w:num w:numId="30" w16cid:durableId="2054496193">
    <w:abstractNumId w:val="12"/>
  </w:num>
  <w:num w:numId="31" w16cid:durableId="111364167">
    <w:abstractNumId w:val="9"/>
  </w:num>
  <w:num w:numId="32" w16cid:durableId="1045330565">
    <w:abstractNumId w:val="21"/>
  </w:num>
  <w:num w:numId="33" w16cid:durableId="1935671816">
    <w:abstractNumId w:val="10"/>
  </w:num>
  <w:num w:numId="34" w16cid:durableId="3205475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9474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70222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8638973">
    <w:abstractNumId w:val="8"/>
  </w:num>
  <w:num w:numId="38" w16cid:durableId="1485009710">
    <w:abstractNumId w:val="1"/>
  </w:num>
  <w:num w:numId="39" w16cid:durableId="677855520">
    <w:abstractNumId w:val="19"/>
  </w:num>
  <w:num w:numId="40" w16cid:durableId="1872496292">
    <w:abstractNumId w:val="30"/>
  </w:num>
  <w:num w:numId="41" w16cid:durableId="810832520">
    <w:abstractNumId w:val="38"/>
  </w:num>
  <w:num w:numId="42" w16cid:durableId="1840150501">
    <w:abstractNumId w:val="13"/>
  </w:num>
  <w:num w:numId="43" w16cid:durableId="1948002294">
    <w:abstractNumId w:val="28"/>
  </w:num>
  <w:num w:numId="44" w16cid:durableId="756750987">
    <w:abstractNumId w:val="2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activeWritingStyle w:appName="MSWord" w:lang="it-IT" w:vendorID="64" w:dllVersion="6" w:nlCheck="1" w:checkStyle="0"/>
  <w:activeWritingStyle w:appName="MSWord" w:lang="en-GB"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n-CA" w:vendorID="64" w:dllVersion="0" w:nlCheck="1" w:checkStyle="0"/>
  <w:activeWritingStyle w:appName="MSWord" w:lang="en-AU" w:vendorID="64" w:dllVersion="0" w:nlCheck="1" w:checkStyle="0"/>
  <w:activeWritingStyle w:appName="MSWord" w:lang="en-AU"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fr-BE" w:vendorID="64" w:dllVersion="4096" w:nlCheck="1" w:checkStyle="0"/>
  <w:activeWritingStyle w:appName="MSWord" w:lang="es-MX"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noPunctuationKerning/>
  <w:characterSpacingControl w:val="doNotCompress"/>
  <w:doNotValidateAgainstSchema/>
  <w:hdrShapeDefaults>
    <o:shapedefaults v:ext="edit" spidmax="2050" style="mso-position-horizontal-relative:page;mso-position-vertical-relative:page"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011A05"/>
    <w:rsid w:val="0000002B"/>
    <w:rsid w:val="00000F95"/>
    <w:rsid w:val="00001197"/>
    <w:rsid w:val="00002199"/>
    <w:rsid w:val="00002A81"/>
    <w:rsid w:val="000037A3"/>
    <w:rsid w:val="00003D60"/>
    <w:rsid w:val="0000424D"/>
    <w:rsid w:val="000044BA"/>
    <w:rsid w:val="00004960"/>
    <w:rsid w:val="00004FAE"/>
    <w:rsid w:val="00005045"/>
    <w:rsid w:val="000052D8"/>
    <w:rsid w:val="00005AB3"/>
    <w:rsid w:val="00005B7C"/>
    <w:rsid w:val="00005C0B"/>
    <w:rsid w:val="00005FB5"/>
    <w:rsid w:val="00006158"/>
    <w:rsid w:val="00010250"/>
    <w:rsid w:val="0001086C"/>
    <w:rsid w:val="000109E3"/>
    <w:rsid w:val="00010B16"/>
    <w:rsid w:val="000115FA"/>
    <w:rsid w:val="00011A05"/>
    <w:rsid w:val="00011D8B"/>
    <w:rsid w:val="00011EA4"/>
    <w:rsid w:val="00012087"/>
    <w:rsid w:val="000127DB"/>
    <w:rsid w:val="0001299D"/>
    <w:rsid w:val="00012A1D"/>
    <w:rsid w:val="00013F09"/>
    <w:rsid w:val="000146DD"/>
    <w:rsid w:val="0001556C"/>
    <w:rsid w:val="00017027"/>
    <w:rsid w:val="0001705C"/>
    <w:rsid w:val="0002057E"/>
    <w:rsid w:val="00020621"/>
    <w:rsid w:val="0002087C"/>
    <w:rsid w:val="00020D69"/>
    <w:rsid w:val="000210FF"/>
    <w:rsid w:val="000212FD"/>
    <w:rsid w:val="00022A60"/>
    <w:rsid w:val="00022ADB"/>
    <w:rsid w:val="00022BE4"/>
    <w:rsid w:val="00022D8C"/>
    <w:rsid w:val="00022EC1"/>
    <w:rsid w:val="0002314C"/>
    <w:rsid w:val="0002370B"/>
    <w:rsid w:val="00024157"/>
    <w:rsid w:val="00024215"/>
    <w:rsid w:val="00024805"/>
    <w:rsid w:val="00024842"/>
    <w:rsid w:val="00024E08"/>
    <w:rsid w:val="00026301"/>
    <w:rsid w:val="00026304"/>
    <w:rsid w:val="00030047"/>
    <w:rsid w:val="000304D7"/>
    <w:rsid w:val="00030742"/>
    <w:rsid w:val="00031AD9"/>
    <w:rsid w:val="00031D6D"/>
    <w:rsid w:val="00031E7F"/>
    <w:rsid w:val="0003208C"/>
    <w:rsid w:val="00032330"/>
    <w:rsid w:val="000325CC"/>
    <w:rsid w:val="0003299C"/>
    <w:rsid w:val="00032C34"/>
    <w:rsid w:val="00034063"/>
    <w:rsid w:val="000342AC"/>
    <w:rsid w:val="00034D2E"/>
    <w:rsid w:val="00035D64"/>
    <w:rsid w:val="00036331"/>
    <w:rsid w:val="00036438"/>
    <w:rsid w:val="0003674C"/>
    <w:rsid w:val="00036C04"/>
    <w:rsid w:val="00040EFE"/>
    <w:rsid w:val="000410FB"/>
    <w:rsid w:val="00041187"/>
    <w:rsid w:val="00041DF9"/>
    <w:rsid w:val="000439E2"/>
    <w:rsid w:val="00043A5E"/>
    <w:rsid w:val="000444F7"/>
    <w:rsid w:val="0004469F"/>
    <w:rsid w:val="00044909"/>
    <w:rsid w:val="0004490E"/>
    <w:rsid w:val="000449E8"/>
    <w:rsid w:val="00044AE3"/>
    <w:rsid w:val="00044CF1"/>
    <w:rsid w:val="000469F3"/>
    <w:rsid w:val="00046C9A"/>
    <w:rsid w:val="00046DBB"/>
    <w:rsid w:val="00047282"/>
    <w:rsid w:val="00047897"/>
    <w:rsid w:val="000479DD"/>
    <w:rsid w:val="000506AD"/>
    <w:rsid w:val="000512C0"/>
    <w:rsid w:val="000514C5"/>
    <w:rsid w:val="000515A1"/>
    <w:rsid w:val="00051A82"/>
    <w:rsid w:val="00052213"/>
    <w:rsid w:val="00052E4A"/>
    <w:rsid w:val="000530B3"/>
    <w:rsid w:val="0005320F"/>
    <w:rsid w:val="00053691"/>
    <w:rsid w:val="00053EF7"/>
    <w:rsid w:val="00053FD6"/>
    <w:rsid w:val="00056332"/>
    <w:rsid w:val="000573B4"/>
    <w:rsid w:val="00057DFE"/>
    <w:rsid w:val="000607F1"/>
    <w:rsid w:val="0006453B"/>
    <w:rsid w:val="00064AAB"/>
    <w:rsid w:val="00064F9C"/>
    <w:rsid w:val="00065A2B"/>
    <w:rsid w:val="00065A49"/>
    <w:rsid w:val="00066753"/>
    <w:rsid w:val="00066D72"/>
    <w:rsid w:val="000677B1"/>
    <w:rsid w:val="00067ED7"/>
    <w:rsid w:val="00070B50"/>
    <w:rsid w:val="00070F8D"/>
    <w:rsid w:val="000723E0"/>
    <w:rsid w:val="00072CE0"/>
    <w:rsid w:val="00073593"/>
    <w:rsid w:val="000743DC"/>
    <w:rsid w:val="0007440C"/>
    <w:rsid w:val="00074FFB"/>
    <w:rsid w:val="00075AF3"/>
    <w:rsid w:val="00077A70"/>
    <w:rsid w:val="00080442"/>
    <w:rsid w:val="0008046D"/>
    <w:rsid w:val="000804C8"/>
    <w:rsid w:val="00080506"/>
    <w:rsid w:val="00080594"/>
    <w:rsid w:val="0008092F"/>
    <w:rsid w:val="0008097A"/>
    <w:rsid w:val="00080CA7"/>
    <w:rsid w:val="0008161F"/>
    <w:rsid w:val="00081F20"/>
    <w:rsid w:val="00082E73"/>
    <w:rsid w:val="00082FE2"/>
    <w:rsid w:val="0008309C"/>
    <w:rsid w:val="00083BFA"/>
    <w:rsid w:val="000841D5"/>
    <w:rsid w:val="0008484A"/>
    <w:rsid w:val="0008496A"/>
    <w:rsid w:val="00084D72"/>
    <w:rsid w:val="00084E05"/>
    <w:rsid w:val="000854B7"/>
    <w:rsid w:val="0008581A"/>
    <w:rsid w:val="00085A58"/>
    <w:rsid w:val="00085FFA"/>
    <w:rsid w:val="000868DC"/>
    <w:rsid w:val="0008737D"/>
    <w:rsid w:val="00087889"/>
    <w:rsid w:val="00087ECC"/>
    <w:rsid w:val="00087ED4"/>
    <w:rsid w:val="000900A2"/>
    <w:rsid w:val="00090514"/>
    <w:rsid w:val="00090BC5"/>
    <w:rsid w:val="00091344"/>
    <w:rsid w:val="00091F48"/>
    <w:rsid w:val="00092966"/>
    <w:rsid w:val="00093A87"/>
    <w:rsid w:val="00093C7E"/>
    <w:rsid w:val="00093CE2"/>
    <w:rsid w:val="00093CE6"/>
    <w:rsid w:val="000940E6"/>
    <w:rsid w:val="000942EF"/>
    <w:rsid w:val="000943B9"/>
    <w:rsid w:val="00094EF3"/>
    <w:rsid w:val="000950F8"/>
    <w:rsid w:val="00095DB0"/>
    <w:rsid w:val="00095EAC"/>
    <w:rsid w:val="00096206"/>
    <w:rsid w:val="00096609"/>
    <w:rsid w:val="0009679C"/>
    <w:rsid w:val="00096B75"/>
    <w:rsid w:val="000A0749"/>
    <w:rsid w:val="000A078A"/>
    <w:rsid w:val="000A0810"/>
    <w:rsid w:val="000A0A1B"/>
    <w:rsid w:val="000A0B2C"/>
    <w:rsid w:val="000A0D09"/>
    <w:rsid w:val="000A14F4"/>
    <w:rsid w:val="000A358D"/>
    <w:rsid w:val="000A409C"/>
    <w:rsid w:val="000A4D2D"/>
    <w:rsid w:val="000A4D46"/>
    <w:rsid w:val="000A6091"/>
    <w:rsid w:val="000A655B"/>
    <w:rsid w:val="000A7873"/>
    <w:rsid w:val="000A7A63"/>
    <w:rsid w:val="000B02C4"/>
    <w:rsid w:val="000B1759"/>
    <w:rsid w:val="000B1F6F"/>
    <w:rsid w:val="000B2169"/>
    <w:rsid w:val="000B24D5"/>
    <w:rsid w:val="000B2C25"/>
    <w:rsid w:val="000B3378"/>
    <w:rsid w:val="000B39C7"/>
    <w:rsid w:val="000B3DC8"/>
    <w:rsid w:val="000B4211"/>
    <w:rsid w:val="000B543A"/>
    <w:rsid w:val="000B5753"/>
    <w:rsid w:val="000B60B3"/>
    <w:rsid w:val="000B6160"/>
    <w:rsid w:val="000B6786"/>
    <w:rsid w:val="000B6958"/>
    <w:rsid w:val="000B7741"/>
    <w:rsid w:val="000B79DD"/>
    <w:rsid w:val="000B7ACC"/>
    <w:rsid w:val="000B7DC5"/>
    <w:rsid w:val="000C0033"/>
    <w:rsid w:val="000C033D"/>
    <w:rsid w:val="000C149B"/>
    <w:rsid w:val="000C1609"/>
    <w:rsid w:val="000C1788"/>
    <w:rsid w:val="000C1800"/>
    <w:rsid w:val="000C1A3D"/>
    <w:rsid w:val="000C1C14"/>
    <w:rsid w:val="000C22E1"/>
    <w:rsid w:val="000C260D"/>
    <w:rsid w:val="000C2704"/>
    <w:rsid w:val="000C2E0E"/>
    <w:rsid w:val="000C3571"/>
    <w:rsid w:val="000C38A0"/>
    <w:rsid w:val="000C3DE0"/>
    <w:rsid w:val="000C66E5"/>
    <w:rsid w:val="000C6F52"/>
    <w:rsid w:val="000C6F63"/>
    <w:rsid w:val="000C7BD5"/>
    <w:rsid w:val="000C7C9D"/>
    <w:rsid w:val="000D014C"/>
    <w:rsid w:val="000D05D5"/>
    <w:rsid w:val="000D074B"/>
    <w:rsid w:val="000D0D21"/>
    <w:rsid w:val="000D1929"/>
    <w:rsid w:val="000D3434"/>
    <w:rsid w:val="000D4639"/>
    <w:rsid w:val="000D5FEF"/>
    <w:rsid w:val="000D603E"/>
    <w:rsid w:val="000D6BA5"/>
    <w:rsid w:val="000D7505"/>
    <w:rsid w:val="000D7551"/>
    <w:rsid w:val="000D79E6"/>
    <w:rsid w:val="000E0002"/>
    <w:rsid w:val="000E070C"/>
    <w:rsid w:val="000E079E"/>
    <w:rsid w:val="000E0A45"/>
    <w:rsid w:val="000E0D7C"/>
    <w:rsid w:val="000E165E"/>
    <w:rsid w:val="000E1ED5"/>
    <w:rsid w:val="000E1F86"/>
    <w:rsid w:val="000E2441"/>
    <w:rsid w:val="000E24A5"/>
    <w:rsid w:val="000E2598"/>
    <w:rsid w:val="000E2BD2"/>
    <w:rsid w:val="000E3FDD"/>
    <w:rsid w:val="000E493F"/>
    <w:rsid w:val="000E501A"/>
    <w:rsid w:val="000E55EC"/>
    <w:rsid w:val="000E5BFF"/>
    <w:rsid w:val="000E6532"/>
    <w:rsid w:val="000E6876"/>
    <w:rsid w:val="000E7FDF"/>
    <w:rsid w:val="000F0153"/>
    <w:rsid w:val="000F0350"/>
    <w:rsid w:val="000F09CE"/>
    <w:rsid w:val="000F0CAB"/>
    <w:rsid w:val="000F1893"/>
    <w:rsid w:val="000F2150"/>
    <w:rsid w:val="000F313E"/>
    <w:rsid w:val="000F327F"/>
    <w:rsid w:val="000F3A6E"/>
    <w:rsid w:val="000F3AD1"/>
    <w:rsid w:val="000F4229"/>
    <w:rsid w:val="000F4445"/>
    <w:rsid w:val="000F45E1"/>
    <w:rsid w:val="000F4F7B"/>
    <w:rsid w:val="000F6EFC"/>
    <w:rsid w:val="001000C4"/>
    <w:rsid w:val="00100150"/>
    <w:rsid w:val="00100335"/>
    <w:rsid w:val="001014CB"/>
    <w:rsid w:val="00101A13"/>
    <w:rsid w:val="00101F82"/>
    <w:rsid w:val="00102149"/>
    <w:rsid w:val="001022F4"/>
    <w:rsid w:val="00102410"/>
    <w:rsid w:val="001027DA"/>
    <w:rsid w:val="00102A66"/>
    <w:rsid w:val="00102B81"/>
    <w:rsid w:val="00102CA9"/>
    <w:rsid w:val="00103340"/>
    <w:rsid w:val="00103443"/>
    <w:rsid w:val="001036FE"/>
    <w:rsid w:val="00105760"/>
    <w:rsid w:val="00105B73"/>
    <w:rsid w:val="00105EF2"/>
    <w:rsid w:val="00105F4C"/>
    <w:rsid w:val="0010659F"/>
    <w:rsid w:val="001066C9"/>
    <w:rsid w:val="00106AB9"/>
    <w:rsid w:val="00106AEC"/>
    <w:rsid w:val="00107593"/>
    <w:rsid w:val="001077D2"/>
    <w:rsid w:val="00107D38"/>
    <w:rsid w:val="00107FC5"/>
    <w:rsid w:val="001100D6"/>
    <w:rsid w:val="00110B3A"/>
    <w:rsid w:val="00110C54"/>
    <w:rsid w:val="00110E5C"/>
    <w:rsid w:val="00110FCE"/>
    <w:rsid w:val="00110FEE"/>
    <w:rsid w:val="00111218"/>
    <w:rsid w:val="001115C7"/>
    <w:rsid w:val="00112255"/>
    <w:rsid w:val="0011250D"/>
    <w:rsid w:val="0011259E"/>
    <w:rsid w:val="001128B6"/>
    <w:rsid w:val="00113230"/>
    <w:rsid w:val="00113413"/>
    <w:rsid w:val="00113773"/>
    <w:rsid w:val="00113F21"/>
    <w:rsid w:val="00114CFB"/>
    <w:rsid w:val="001151FC"/>
    <w:rsid w:val="00115455"/>
    <w:rsid w:val="00115D8E"/>
    <w:rsid w:val="001165AA"/>
    <w:rsid w:val="00116A55"/>
    <w:rsid w:val="001176B4"/>
    <w:rsid w:val="00117949"/>
    <w:rsid w:val="00117E8F"/>
    <w:rsid w:val="0012024E"/>
    <w:rsid w:val="00120580"/>
    <w:rsid w:val="001214A1"/>
    <w:rsid w:val="00121BA1"/>
    <w:rsid w:val="00121E88"/>
    <w:rsid w:val="00121EF7"/>
    <w:rsid w:val="001229BD"/>
    <w:rsid w:val="00122EF3"/>
    <w:rsid w:val="001238C3"/>
    <w:rsid w:val="00123991"/>
    <w:rsid w:val="00125753"/>
    <w:rsid w:val="001258DB"/>
    <w:rsid w:val="001260E4"/>
    <w:rsid w:val="00126467"/>
    <w:rsid w:val="00126A2E"/>
    <w:rsid w:val="00126F90"/>
    <w:rsid w:val="00127049"/>
    <w:rsid w:val="00127D0F"/>
    <w:rsid w:val="00127DCA"/>
    <w:rsid w:val="001302B9"/>
    <w:rsid w:val="00130338"/>
    <w:rsid w:val="00130665"/>
    <w:rsid w:val="00130785"/>
    <w:rsid w:val="00131B13"/>
    <w:rsid w:val="001322BE"/>
    <w:rsid w:val="00132D1F"/>
    <w:rsid w:val="00134801"/>
    <w:rsid w:val="0013591C"/>
    <w:rsid w:val="0013688D"/>
    <w:rsid w:val="0013713C"/>
    <w:rsid w:val="001402A7"/>
    <w:rsid w:val="00140757"/>
    <w:rsid w:val="001409D6"/>
    <w:rsid w:val="001409FD"/>
    <w:rsid w:val="00140AD1"/>
    <w:rsid w:val="00141AB0"/>
    <w:rsid w:val="00142465"/>
    <w:rsid w:val="001430EF"/>
    <w:rsid w:val="0014339D"/>
    <w:rsid w:val="00143890"/>
    <w:rsid w:val="00143A8E"/>
    <w:rsid w:val="00144159"/>
    <w:rsid w:val="00144C7A"/>
    <w:rsid w:val="00144D81"/>
    <w:rsid w:val="00145716"/>
    <w:rsid w:val="001459B4"/>
    <w:rsid w:val="00145B2B"/>
    <w:rsid w:val="00145CEC"/>
    <w:rsid w:val="0014683C"/>
    <w:rsid w:val="00146B06"/>
    <w:rsid w:val="001477CE"/>
    <w:rsid w:val="001500E6"/>
    <w:rsid w:val="001505F6"/>
    <w:rsid w:val="00151488"/>
    <w:rsid w:val="00151923"/>
    <w:rsid w:val="00152ADA"/>
    <w:rsid w:val="00153735"/>
    <w:rsid w:val="001539EF"/>
    <w:rsid w:val="001541DB"/>
    <w:rsid w:val="00154432"/>
    <w:rsid w:val="00154639"/>
    <w:rsid w:val="0015494D"/>
    <w:rsid w:val="00154F22"/>
    <w:rsid w:val="00155898"/>
    <w:rsid w:val="00156743"/>
    <w:rsid w:val="00157C6A"/>
    <w:rsid w:val="001600B2"/>
    <w:rsid w:val="00160FB5"/>
    <w:rsid w:val="001614AD"/>
    <w:rsid w:val="001625BB"/>
    <w:rsid w:val="0016265F"/>
    <w:rsid w:val="00163605"/>
    <w:rsid w:val="00164189"/>
    <w:rsid w:val="0016485C"/>
    <w:rsid w:val="00164D90"/>
    <w:rsid w:val="00164E42"/>
    <w:rsid w:val="001651E9"/>
    <w:rsid w:val="00165216"/>
    <w:rsid w:val="0016534C"/>
    <w:rsid w:val="00165433"/>
    <w:rsid w:val="00165B10"/>
    <w:rsid w:val="001660D7"/>
    <w:rsid w:val="001677B8"/>
    <w:rsid w:val="00167C84"/>
    <w:rsid w:val="001703A3"/>
    <w:rsid w:val="001704ED"/>
    <w:rsid w:val="00171089"/>
    <w:rsid w:val="00171165"/>
    <w:rsid w:val="00172508"/>
    <w:rsid w:val="0017254B"/>
    <w:rsid w:val="001731AD"/>
    <w:rsid w:val="0017487C"/>
    <w:rsid w:val="00176A5A"/>
    <w:rsid w:val="00176F36"/>
    <w:rsid w:val="001803EC"/>
    <w:rsid w:val="001805BB"/>
    <w:rsid w:val="001806AD"/>
    <w:rsid w:val="001809DE"/>
    <w:rsid w:val="0018178E"/>
    <w:rsid w:val="00181F86"/>
    <w:rsid w:val="00181FA2"/>
    <w:rsid w:val="00182021"/>
    <w:rsid w:val="0018329F"/>
    <w:rsid w:val="00183527"/>
    <w:rsid w:val="001839DD"/>
    <w:rsid w:val="00184315"/>
    <w:rsid w:val="001852DE"/>
    <w:rsid w:val="001853CF"/>
    <w:rsid w:val="001859D0"/>
    <w:rsid w:val="00185B9F"/>
    <w:rsid w:val="00185F74"/>
    <w:rsid w:val="0018632F"/>
    <w:rsid w:val="001863E8"/>
    <w:rsid w:val="00186D13"/>
    <w:rsid w:val="001878BF"/>
    <w:rsid w:val="00187FDB"/>
    <w:rsid w:val="00190D6A"/>
    <w:rsid w:val="001915A0"/>
    <w:rsid w:val="00191F1F"/>
    <w:rsid w:val="00192877"/>
    <w:rsid w:val="001937C7"/>
    <w:rsid w:val="0019448E"/>
    <w:rsid w:val="00195804"/>
    <w:rsid w:val="00195A00"/>
    <w:rsid w:val="00195C4B"/>
    <w:rsid w:val="00196D11"/>
    <w:rsid w:val="001979E6"/>
    <w:rsid w:val="001A0169"/>
    <w:rsid w:val="001A0171"/>
    <w:rsid w:val="001A04EE"/>
    <w:rsid w:val="001A0632"/>
    <w:rsid w:val="001A2048"/>
    <w:rsid w:val="001A2B47"/>
    <w:rsid w:val="001A30E2"/>
    <w:rsid w:val="001A3610"/>
    <w:rsid w:val="001A3615"/>
    <w:rsid w:val="001A378C"/>
    <w:rsid w:val="001A3804"/>
    <w:rsid w:val="001A3FAF"/>
    <w:rsid w:val="001A47BF"/>
    <w:rsid w:val="001A4954"/>
    <w:rsid w:val="001A4C2B"/>
    <w:rsid w:val="001A4CED"/>
    <w:rsid w:val="001A5116"/>
    <w:rsid w:val="001A529D"/>
    <w:rsid w:val="001A5651"/>
    <w:rsid w:val="001A5B05"/>
    <w:rsid w:val="001A6502"/>
    <w:rsid w:val="001A6707"/>
    <w:rsid w:val="001A67B0"/>
    <w:rsid w:val="001A6BA0"/>
    <w:rsid w:val="001A783D"/>
    <w:rsid w:val="001A7B54"/>
    <w:rsid w:val="001A7DE4"/>
    <w:rsid w:val="001B0306"/>
    <w:rsid w:val="001B03E3"/>
    <w:rsid w:val="001B04E0"/>
    <w:rsid w:val="001B11F3"/>
    <w:rsid w:val="001B1466"/>
    <w:rsid w:val="001B1802"/>
    <w:rsid w:val="001B201A"/>
    <w:rsid w:val="001B215D"/>
    <w:rsid w:val="001B25FB"/>
    <w:rsid w:val="001B2F24"/>
    <w:rsid w:val="001B3449"/>
    <w:rsid w:val="001B4589"/>
    <w:rsid w:val="001B48FA"/>
    <w:rsid w:val="001B4A05"/>
    <w:rsid w:val="001B4D3C"/>
    <w:rsid w:val="001B5C67"/>
    <w:rsid w:val="001B6DE5"/>
    <w:rsid w:val="001B78A9"/>
    <w:rsid w:val="001B79EE"/>
    <w:rsid w:val="001B7C4D"/>
    <w:rsid w:val="001B7D73"/>
    <w:rsid w:val="001C0A8C"/>
    <w:rsid w:val="001C0B0A"/>
    <w:rsid w:val="001C0F8D"/>
    <w:rsid w:val="001C18B1"/>
    <w:rsid w:val="001C19B5"/>
    <w:rsid w:val="001C1C34"/>
    <w:rsid w:val="001C1FC1"/>
    <w:rsid w:val="001C2428"/>
    <w:rsid w:val="001C3525"/>
    <w:rsid w:val="001C3D9C"/>
    <w:rsid w:val="001C41E7"/>
    <w:rsid w:val="001C4876"/>
    <w:rsid w:val="001C48DD"/>
    <w:rsid w:val="001C4965"/>
    <w:rsid w:val="001C4B37"/>
    <w:rsid w:val="001C4B8B"/>
    <w:rsid w:val="001C4BE5"/>
    <w:rsid w:val="001C4DBC"/>
    <w:rsid w:val="001C5BBE"/>
    <w:rsid w:val="001C5E4B"/>
    <w:rsid w:val="001C61EA"/>
    <w:rsid w:val="001C67BD"/>
    <w:rsid w:val="001C67F8"/>
    <w:rsid w:val="001C727A"/>
    <w:rsid w:val="001C74A4"/>
    <w:rsid w:val="001C7807"/>
    <w:rsid w:val="001C7DDF"/>
    <w:rsid w:val="001D052D"/>
    <w:rsid w:val="001D05C7"/>
    <w:rsid w:val="001D0F35"/>
    <w:rsid w:val="001D1068"/>
    <w:rsid w:val="001D18F5"/>
    <w:rsid w:val="001D19C7"/>
    <w:rsid w:val="001D2454"/>
    <w:rsid w:val="001D2C08"/>
    <w:rsid w:val="001D3135"/>
    <w:rsid w:val="001D37AE"/>
    <w:rsid w:val="001D3AD6"/>
    <w:rsid w:val="001D44E9"/>
    <w:rsid w:val="001D4781"/>
    <w:rsid w:val="001D4903"/>
    <w:rsid w:val="001D4FB9"/>
    <w:rsid w:val="001D553E"/>
    <w:rsid w:val="001D5572"/>
    <w:rsid w:val="001D57C9"/>
    <w:rsid w:val="001D6056"/>
    <w:rsid w:val="001D6741"/>
    <w:rsid w:val="001D7D57"/>
    <w:rsid w:val="001D7EF5"/>
    <w:rsid w:val="001E003A"/>
    <w:rsid w:val="001E0769"/>
    <w:rsid w:val="001E07E2"/>
    <w:rsid w:val="001E0F05"/>
    <w:rsid w:val="001E1738"/>
    <w:rsid w:val="001E17DC"/>
    <w:rsid w:val="001E20A6"/>
    <w:rsid w:val="001E2933"/>
    <w:rsid w:val="001E2E5E"/>
    <w:rsid w:val="001E304C"/>
    <w:rsid w:val="001E3157"/>
    <w:rsid w:val="001E3693"/>
    <w:rsid w:val="001E36A2"/>
    <w:rsid w:val="001E4591"/>
    <w:rsid w:val="001E469E"/>
    <w:rsid w:val="001E4E80"/>
    <w:rsid w:val="001E5AD2"/>
    <w:rsid w:val="001E5C4A"/>
    <w:rsid w:val="001E6C09"/>
    <w:rsid w:val="001E6D82"/>
    <w:rsid w:val="001E6DCF"/>
    <w:rsid w:val="001E6FF2"/>
    <w:rsid w:val="001E7329"/>
    <w:rsid w:val="001E7582"/>
    <w:rsid w:val="001F0A6F"/>
    <w:rsid w:val="001F0C13"/>
    <w:rsid w:val="001F0E80"/>
    <w:rsid w:val="001F191B"/>
    <w:rsid w:val="001F210D"/>
    <w:rsid w:val="001F28D3"/>
    <w:rsid w:val="001F2A87"/>
    <w:rsid w:val="001F3BBF"/>
    <w:rsid w:val="001F3E24"/>
    <w:rsid w:val="001F4778"/>
    <w:rsid w:val="001F491E"/>
    <w:rsid w:val="001F5000"/>
    <w:rsid w:val="001F589A"/>
    <w:rsid w:val="001F5B55"/>
    <w:rsid w:val="001F6551"/>
    <w:rsid w:val="001F692C"/>
    <w:rsid w:val="001F693D"/>
    <w:rsid w:val="001F75A7"/>
    <w:rsid w:val="00200409"/>
    <w:rsid w:val="00200487"/>
    <w:rsid w:val="00201F17"/>
    <w:rsid w:val="00204395"/>
    <w:rsid w:val="00204B5A"/>
    <w:rsid w:val="00205154"/>
    <w:rsid w:val="002053B0"/>
    <w:rsid w:val="00205EF0"/>
    <w:rsid w:val="00206C44"/>
    <w:rsid w:val="00206D23"/>
    <w:rsid w:val="002105AE"/>
    <w:rsid w:val="00210795"/>
    <w:rsid w:val="002108AF"/>
    <w:rsid w:val="00210A39"/>
    <w:rsid w:val="002110BD"/>
    <w:rsid w:val="00211105"/>
    <w:rsid w:val="002112CE"/>
    <w:rsid w:val="00211664"/>
    <w:rsid w:val="00211903"/>
    <w:rsid w:val="00211DF9"/>
    <w:rsid w:val="0021299F"/>
    <w:rsid w:val="00212B5B"/>
    <w:rsid w:val="00212FF4"/>
    <w:rsid w:val="00214D56"/>
    <w:rsid w:val="002150A8"/>
    <w:rsid w:val="0021529D"/>
    <w:rsid w:val="00215E2B"/>
    <w:rsid w:val="00216480"/>
    <w:rsid w:val="002165CB"/>
    <w:rsid w:val="00216B9B"/>
    <w:rsid w:val="00216C60"/>
    <w:rsid w:val="00216DA3"/>
    <w:rsid w:val="002208AA"/>
    <w:rsid w:val="002211DD"/>
    <w:rsid w:val="002217BF"/>
    <w:rsid w:val="00221B26"/>
    <w:rsid w:val="00221E19"/>
    <w:rsid w:val="0022224B"/>
    <w:rsid w:val="002228EC"/>
    <w:rsid w:val="002231EA"/>
    <w:rsid w:val="0022334F"/>
    <w:rsid w:val="00223E8F"/>
    <w:rsid w:val="00223F1C"/>
    <w:rsid w:val="0022498F"/>
    <w:rsid w:val="00225043"/>
    <w:rsid w:val="00225701"/>
    <w:rsid w:val="00225C8B"/>
    <w:rsid w:val="002303BF"/>
    <w:rsid w:val="002309EB"/>
    <w:rsid w:val="00230B4D"/>
    <w:rsid w:val="0023107F"/>
    <w:rsid w:val="00231099"/>
    <w:rsid w:val="00232444"/>
    <w:rsid w:val="00232D93"/>
    <w:rsid w:val="00232DFE"/>
    <w:rsid w:val="00233551"/>
    <w:rsid w:val="00233A79"/>
    <w:rsid w:val="00233B7F"/>
    <w:rsid w:val="00233D62"/>
    <w:rsid w:val="00234067"/>
    <w:rsid w:val="00234084"/>
    <w:rsid w:val="00234A62"/>
    <w:rsid w:val="002352C4"/>
    <w:rsid w:val="00235B54"/>
    <w:rsid w:val="00235D1E"/>
    <w:rsid w:val="0023605E"/>
    <w:rsid w:val="00236D20"/>
    <w:rsid w:val="00237B65"/>
    <w:rsid w:val="00237C71"/>
    <w:rsid w:val="00237E4C"/>
    <w:rsid w:val="002404E4"/>
    <w:rsid w:val="00240E85"/>
    <w:rsid w:val="00242761"/>
    <w:rsid w:val="0024288E"/>
    <w:rsid w:val="0024357D"/>
    <w:rsid w:val="00243673"/>
    <w:rsid w:val="00243C0C"/>
    <w:rsid w:val="00245021"/>
    <w:rsid w:val="002465B0"/>
    <w:rsid w:val="00246741"/>
    <w:rsid w:val="00247762"/>
    <w:rsid w:val="00250262"/>
    <w:rsid w:val="00250BC4"/>
    <w:rsid w:val="00250C1B"/>
    <w:rsid w:val="0025103F"/>
    <w:rsid w:val="00251150"/>
    <w:rsid w:val="002517E8"/>
    <w:rsid w:val="002519DA"/>
    <w:rsid w:val="00252128"/>
    <w:rsid w:val="00252951"/>
    <w:rsid w:val="00253135"/>
    <w:rsid w:val="00253790"/>
    <w:rsid w:val="00254655"/>
    <w:rsid w:val="002549BD"/>
    <w:rsid w:val="00254B19"/>
    <w:rsid w:val="00254C38"/>
    <w:rsid w:val="00254E2C"/>
    <w:rsid w:val="0025597E"/>
    <w:rsid w:val="0025617E"/>
    <w:rsid w:val="00257BC6"/>
    <w:rsid w:val="00257D04"/>
    <w:rsid w:val="002606F4"/>
    <w:rsid w:val="002608EA"/>
    <w:rsid w:val="00260A31"/>
    <w:rsid w:val="00260ECE"/>
    <w:rsid w:val="00261530"/>
    <w:rsid w:val="002621BC"/>
    <w:rsid w:val="00262306"/>
    <w:rsid w:val="0026333E"/>
    <w:rsid w:val="00263E5C"/>
    <w:rsid w:val="00264AEC"/>
    <w:rsid w:val="00265013"/>
    <w:rsid w:val="0026505B"/>
    <w:rsid w:val="00266217"/>
    <w:rsid w:val="002663D5"/>
    <w:rsid w:val="0026693E"/>
    <w:rsid w:val="00266F19"/>
    <w:rsid w:val="00267AB1"/>
    <w:rsid w:val="00267EBC"/>
    <w:rsid w:val="00270773"/>
    <w:rsid w:val="00270814"/>
    <w:rsid w:val="00270876"/>
    <w:rsid w:val="00270DD1"/>
    <w:rsid w:val="00270FCA"/>
    <w:rsid w:val="002715E8"/>
    <w:rsid w:val="0027198F"/>
    <w:rsid w:val="00272B1C"/>
    <w:rsid w:val="00272DBA"/>
    <w:rsid w:val="00272E50"/>
    <w:rsid w:val="00273DFD"/>
    <w:rsid w:val="00273FF4"/>
    <w:rsid w:val="00274077"/>
    <w:rsid w:val="00274CE0"/>
    <w:rsid w:val="00275373"/>
    <w:rsid w:val="0027551B"/>
    <w:rsid w:val="00275EA4"/>
    <w:rsid w:val="00276DFB"/>
    <w:rsid w:val="0027754F"/>
    <w:rsid w:val="00277801"/>
    <w:rsid w:val="00281434"/>
    <w:rsid w:val="002814D6"/>
    <w:rsid w:val="002821A4"/>
    <w:rsid w:val="002823F2"/>
    <w:rsid w:val="002827CA"/>
    <w:rsid w:val="00284071"/>
    <w:rsid w:val="002842CA"/>
    <w:rsid w:val="00284352"/>
    <w:rsid w:val="002856C5"/>
    <w:rsid w:val="002858D0"/>
    <w:rsid w:val="00285A4B"/>
    <w:rsid w:val="00285FFF"/>
    <w:rsid w:val="00286281"/>
    <w:rsid w:val="00286588"/>
    <w:rsid w:val="00286CA1"/>
    <w:rsid w:val="00286E83"/>
    <w:rsid w:val="002871F3"/>
    <w:rsid w:val="002875F7"/>
    <w:rsid w:val="00287F2D"/>
    <w:rsid w:val="0029065A"/>
    <w:rsid w:val="0029086A"/>
    <w:rsid w:val="002916AC"/>
    <w:rsid w:val="002922F2"/>
    <w:rsid w:val="002924BE"/>
    <w:rsid w:val="002925EA"/>
    <w:rsid w:val="002929CE"/>
    <w:rsid w:val="002940BA"/>
    <w:rsid w:val="00295337"/>
    <w:rsid w:val="002959D6"/>
    <w:rsid w:val="002959DC"/>
    <w:rsid w:val="00295E9F"/>
    <w:rsid w:val="00296026"/>
    <w:rsid w:val="002964A0"/>
    <w:rsid w:val="00296840"/>
    <w:rsid w:val="00296857"/>
    <w:rsid w:val="00296CA0"/>
    <w:rsid w:val="002A0465"/>
    <w:rsid w:val="002A0488"/>
    <w:rsid w:val="002A10DA"/>
    <w:rsid w:val="002A13EC"/>
    <w:rsid w:val="002A27DE"/>
    <w:rsid w:val="002A2B76"/>
    <w:rsid w:val="002A2ED3"/>
    <w:rsid w:val="002A3033"/>
    <w:rsid w:val="002A3A13"/>
    <w:rsid w:val="002A3B38"/>
    <w:rsid w:val="002A3B48"/>
    <w:rsid w:val="002A3F48"/>
    <w:rsid w:val="002A47B2"/>
    <w:rsid w:val="002A4F6A"/>
    <w:rsid w:val="002A54C7"/>
    <w:rsid w:val="002A5CB4"/>
    <w:rsid w:val="002A6092"/>
    <w:rsid w:val="002A60CD"/>
    <w:rsid w:val="002A7115"/>
    <w:rsid w:val="002A7C48"/>
    <w:rsid w:val="002B023F"/>
    <w:rsid w:val="002B09BB"/>
    <w:rsid w:val="002B0BEB"/>
    <w:rsid w:val="002B0CD5"/>
    <w:rsid w:val="002B0E62"/>
    <w:rsid w:val="002B10A8"/>
    <w:rsid w:val="002B1D5B"/>
    <w:rsid w:val="002B1FE7"/>
    <w:rsid w:val="002B1FEC"/>
    <w:rsid w:val="002B22BB"/>
    <w:rsid w:val="002B2DF0"/>
    <w:rsid w:val="002B2F18"/>
    <w:rsid w:val="002B32B9"/>
    <w:rsid w:val="002B357A"/>
    <w:rsid w:val="002B35D8"/>
    <w:rsid w:val="002B36D1"/>
    <w:rsid w:val="002B3CAD"/>
    <w:rsid w:val="002B43B9"/>
    <w:rsid w:val="002B4C72"/>
    <w:rsid w:val="002B4CE5"/>
    <w:rsid w:val="002B5021"/>
    <w:rsid w:val="002B55D8"/>
    <w:rsid w:val="002B57F0"/>
    <w:rsid w:val="002B5C37"/>
    <w:rsid w:val="002B6C9F"/>
    <w:rsid w:val="002B714D"/>
    <w:rsid w:val="002B735A"/>
    <w:rsid w:val="002B79DE"/>
    <w:rsid w:val="002C0280"/>
    <w:rsid w:val="002C0D7B"/>
    <w:rsid w:val="002C0FA7"/>
    <w:rsid w:val="002C1812"/>
    <w:rsid w:val="002C1B25"/>
    <w:rsid w:val="002C3415"/>
    <w:rsid w:val="002C37ED"/>
    <w:rsid w:val="002C3C77"/>
    <w:rsid w:val="002C4321"/>
    <w:rsid w:val="002C46F2"/>
    <w:rsid w:val="002C4700"/>
    <w:rsid w:val="002C5237"/>
    <w:rsid w:val="002C57D4"/>
    <w:rsid w:val="002C5A0C"/>
    <w:rsid w:val="002C5A26"/>
    <w:rsid w:val="002C5DF2"/>
    <w:rsid w:val="002C65A6"/>
    <w:rsid w:val="002C6760"/>
    <w:rsid w:val="002C67B9"/>
    <w:rsid w:val="002C69C4"/>
    <w:rsid w:val="002C7C73"/>
    <w:rsid w:val="002D03C1"/>
    <w:rsid w:val="002D05BD"/>
    <w:rsid w:val="002D0EA9"/>
    <w:rsid w:val="002D1647"/>
    <w:rsid w:val="002D16E3"/>
    <w:rsid w:val="002D195C"/>
    <w:rsid w:val="002D1FB1"/>
    <w:rsid w:val="002D2EE8"/>
    <w:rsid w:val="002D32B9"/>
    <w:rsid w:val="002D3A0C"/>
    <w:rsid w:val="002D409F"/>
    <w:rsid w:val="002D4C78"/>
    <w:rsid w:val="002D4F1C"/>
    <w:rsid w:val="002D4F52"/>
    <w:rsid w:val="002D53C3"/>
    <w:rsid w:val="002D5ADB"/>
    <w:rsid w:val="002D5E72"/>
    <w:rsid w:val="002D6045"/>
    <w:rsid w:val="002D6875"/>
    <w:rsid w:val="002D7219"/>
    <w:rsid w:val="002D7E0B"/>
    <w:rsid w:val="002E1250"/>
    <w:rsid w:val="002E1668"/>
    <w:rsid w:val="002E1BD1"/>
    <w:rsid w:val="002E1C38"/>
    <w:rsid w:val="002E21F1"/>
    <w:rsid w:val="002E27C5"/>
    <w:rsid w:val="002E2D54"/>
    <w:rsid w:val="002E361F"/>
    <w:rsid w:val="002E3D0F"/>
    <w:rsid w:val="002E4331"/>
    <w:rsid w:val="002E4776"/>
    <w:rsid w:val="002E4A56"/>
    <w:rsid w:val="002E4B6B"/>
    <w:rsid w:val="002E5661"/>
    <w:rsid w:val="002E5F9A"/>
    <w:rsid w:val="002E666F"/>
    <w:rsid w:val="002E6CD1"/>
    <w:rsid w:val="002E6D30"/>
    <w:rsid w:val="002E6DED"/>
    <w:rsid w:val="002E73E6"/>
    <w:rsid w:val="002E77C0"/>
    <w:rsid w:val="002F0255"/>
    <w:rsid w:val="002F0AF0"/>
    <w:rsid w:val="002F0D6C"/>
    <w:rsid w:val="002F1378"/>
    <w:rsid w:val="002F2664"/>
    <w:rsid w:val="002F2A1D"/>
    <w:rsid w:val="002F2A62"/>
    <w:rsid w:val="002F2C0C"/>
    <w:rsid w:val="002F2F01"/>
    <w:rsid w:val="002F32F6"/>
    <w:rsid w:val="002F3449"/>
    <w:rsid w:val="002F3670"/>
    <w:rsid w:val="002F3C73"/>
    <w:rsid w:val="002F4135"/>
    <w:rsid w:val="002F44DB"/>
    <w:rsid w:val="002F4B4B"/>
    <w:rsid w:val="002F599B"/>
    <w:rsid w:val="002F62E4"/>
    <w:rsid w:val="002F67B4"/>
    <w:rsid w:val="002F6B15"/>
    <w:rsid w:val="002F78AE"/>
    <w:rsid w:val="002F7C11"/>
    <w:rsid w:val="00300121"/>
    <w:rsid w:val="003002B9"/>
    <w:rsid w:val="00300487"/>
    <w:rsid w:val="0030091F"/>
    <w:rsid w:val="00300CC5"/>
    <w:rsid w:val="00301EC5"/>
    <w:rsid w:val="00301F0D"/>
    <w:rsid w:val="00302459"/>
    <w:rsid w:val="003024B0"/>
    <w:rsid w:val="003025F9"/>
    <w:rsid w:val="003029D9"/>
    <w:rsid w:val="003031A6"/>
    <w:rsid w:val="00303662"/>
    <w:rsid w:val="0030385A"/>
    <w:rsid w:val="003038E8"/>
    <w:rsid w:val="00303D3F"/>
    <w:rsid w:val="003045A8"/>
    <w:rsid w:val="003048F9"/>
    <w:rsid w:val="00304BD0"/>
    <w:rsid w:val="00304F75"/>
    <w:rsid w:val="00305699"/>
    <w:rsid w:val="0030570B"/>
    <w:rsid w:val="00305D98"/>
    <w:rsid w:val="00305FC8"/>
    <w:rsid w:val="00306D60"/>
    <w:rsid w:val="003070DE"/>
    <w:rsid w:val="003072F0"/>
    <w:rsid w:val="00307A74"/>
    <w:rsid w:val="003106C4"/>
    <w:rsid w:val="00310990"/>
    <w:rsid w:val="003110F4"/>
    <w:rsid w:val="00311851"/>
    <w:rsid w:val="00313019"/>
    <w:rsid w:val="00313111"/>
    <w:rsid w:val="00313B74"/>
    <w:rsid w:val="003141C7"/>
    <w:rsid w:val="00314EFD"/>
    <w:rsid w:val="00315584"/>
    <w:rsid w:val="003160B5"/>
    <w:rsid w:val="003161BC"/>
    <w:rsid w:val="0031669F"/>
    <w:rsid w:val="00316C77"/>
    <w:rsid w:val="003177BB"/>
    <w:rsid w:val="00317D0A"/>
    <w:rsid w:val="0032072D"/>
    <w:rsid w:val="00320730"/>
    <w:rsid w:val="00320787"/>
    <w:rsid w:val="0032079D"/>
    <w:rsid w:val="00320FCB"/>
    <w:rsid w:val="0032104F"/>
    <w:rsid w:val="0032184A"/>
    <w:rsid w:val="00321F4F"/>
    <w:rsid w:val="00322B2D"/>
    <w:rsid w:val="003239EB"/>
    <w:rsid w:val="003248BE"/>
    <w:rsid w:val="00324C15"/>
    <w:rsid w:val="00324CFA"/>
    <w:rsid w:val="00324EF3"/>
    <w:rsid w:val="00325630"/>
    <w:rsid w:val="003260A4"/>
    <w:rsid w:val="003263AB"/>
    <w:rsid w:val="003265F8"/>
    <w:rsid w:val="00326915"/>
    <w:rsid w:val="0033016A"/>
    <w:rsid w:val="003307B4"/>
    <w:rsid w:val="00330899"/>
    <w:rsid w:val="00330F0A"/>
    <w:rsid w:val="00331449"/>
    <w:rsid w:val="003317B5"/>
    <w:rsid w:val="00331962"/>
    <w:rsid w:val="00331A90"/>
    <w:rsid w:val="00331F6E"/>
    <w:rsid w:val="00332A34"/>
    <w:rsid w:val="003341E9"/>
    <w:rsid w:val="003342FD"/>
    <w:rsid w:val="0033481A"/>
    <w:rsid w:val="00334EB7"/>
    <w:rsid w:val="00335482"/>
    <w:rsid w:val="00335976"/>
    <w:rsid w:val="00337750"/>
    <w:rsid w:val="00337CEB"/>
    <w:rsid w:val="00341A50"/>
    <w:rsid w:val="00341E5D"/>
    <w:rsid w:val="00341FFB"/>
    <w:rsid w:val="0034286A"/>
    <w:rsid w:val="0034456C"/>
    <w:rsid w:val="00344827"/>
    <w:rsid w:val="0034616E"/>
    <w:rsid w:val="003465B3"/>
    <w:rsid w:val="00346A11"/>
    <w:rsid w:val="00346D09"/>
    <w:rsid w:val="003473F3"/>
    <w:rsid w:val="0034784C"/>
    <w:rsid w:val="00347DBC"/>
    <w:rsid w:val="00350A7A"/>
    <w:rsid w:val="00351255"/>
    <w:rsid w:val="003518F9"/>
    <w:rsid w:val="003524D3"/>
    <w:rsid w:val="00352A6A"/>
    <w:rsid w:val="00352D60"/>
    <w:rsid w:val="00352F1D"/>
    <w:rsid w:val="0035323D"/>
    <w:rsid w:val="00353FEB"/>
    <w:rsid w:val="003545F9"/>
    <w:rsid w:val="00355645"/>
    <w:rsid w:val="00355AA0"/>
    <w:rsid w:val="00356020"/>
    <w:rsid w:val="00356162"/>
    <w:rsid w:val="0035646A"/>
    <w:rsid w:val="00356987"/>
    <w:rsid w:val="00357299"/>
    <w:rsid w:val="0036014E"/>
    <w:rsid w:val="003602ED"/>
    <w:rsid w:val="00360EC9"/>
    <w:rsid w:val="003618A7"/>
    <w:rsid w:val="00361F9D"/>
    <w:rsid w:val="00362890"/>
    <w:rsid w:val="0036327E"/>
    <w:rsid w:val="00363499"/>
    <w:rsid w:val="00363917"/>
    <w:rsid w:val="00363A14"/>
    <w:rsid w:val="00363CAF"/>
    <w:rsid w:val="00363E03"/>
    <w:rsid w:val="003645A0"/>
    <w:rsid w:val="00364BB3"/>
    <w:rsid w:val="00364BE0"/>
    <w:rsid w:val="00364BE9"/>
    <w:rsid w:val="00365D2B"/>
    <w:rsid w:val="00365E19"/>
    <w:rsid w:val="00366AC0"/>
    <w:rsid w:val="003671D8"/>
    <w:rsid w:val="003675B2"/>
    <w:rsid w:val="003700AC"/>
    <w:rsid w:val="0037050F"/>
    <w:rsid w:val="003709F0"/>
    <w:rsid w:val="00370A3E"/>
    <w:rsid w:val="0037126E"/>
    <w:rsid w:val="0037138C"/>
    <w:rsid w:val="00371414"/>
    <w:rsid w:val="00372405"/>
    <w:rsid w:val="00372C3F"/>
    <w:rsid w:val="00372E5D"/>
    <w:rsid w:val="003731B5"/>
    <w:rsid w:val="00373888"/>
    <w:rsid w:val="00373D68"/>
    <w:rsid w:val="003741A9"/>
    <w:rsid w:val="00374E1D"/>
    <w:rsid w:val="003756D5"/>
    <w:rsid w:val="00375851"/>
    <w:rsid w:val="00375FE7"/>
    <w:rsid w:val="00376655"/>
    <w:rsid w:val="003767C8"/>
    <w:rsid w:val="00376BFF"/>
    <w:rsid w:val="00376E2B"/>
    <w:rsid w:val="00377A5F"/>
    <w:rsid w:val="00377E97"/>
    <w:rsid w:val="003802D8"/>
    <w:rsid w:val="00380559"/>
    <w:rsid w:val="00381265"/>
    <w:rsid w:val="00381856"/>
    <w:rsid w:val="00381BC0"/>
    <w:rsid w:val="00382DB2"/>
    <w:rsid w:val="00382E98"/>
    <w:rsid w:val="003831FF"/>
    <w:rsid w:val="003839EE"/>
    <w:rsid w:val="003844E7"/>
    <w:rsid w:val="0038556F"/>
    <w:rsid w:val="00385FC4"/>
    <w:rsid w:val="00386377"/>
    <w:rsid w:val="0038734F"/>
    <w:rsid w:val="00387F5C"/>
    <w:rsid w:val="0039030D"/>
    <w:rsid w:val="0039079B"/>
    <w:rsid w:val="00390ADB"/>
    <w:rsid w:val="003910B6"/>
    <w:rsid w:val="00392194"/>
    <w:rsid w:val="00392B1D"/>
    <w:rsid w:val="00393779"/>
    <w:rsid w:val="00393B31"/>
    <w:rsid w:val="0039420E"/>
    <w:rsid w:val="003945C9"/>
    <w:rsid w:val="00396384"/>
    <w:rsid w:val="00397DDE"/>
    <w:rsid w:val="003A068B"/>
    <w:rsid w:val="003A0C14"/>
    <w:rsid w:val="003A137B"/>
    <w:rsid w:val="003A16F6"/>
    <w:rsid w:val="003A25A0"/>
    <w:rsid w:val="003A28CB"/>
    <w:rsid w:val="003A30AA"/>
    <w:rsid w:val="003A3455"/>
    <w:rsid w:val="003A38FF"/>
    <w:rsid w:val="003A39E9"/>
    <w:rsid w:val="003A4907"/>
    <w:rsid w:val="003A4941"/>
    <w:rsid w:val="003A4F12"/>
    <w:rsid w:val="003A5215"/>
    <w:rsid w:val="003A560E"/>
    <w:rsid w:val="003A5670"/>
    <w:rsid w:val="003A5C75"/>
    <w:rsid w:val="003A5CCB"/>
    <w:rsid w:val="003A7917"/>
    <w:rsid w:val="003A7D59"/>
    <w:rsid w:val="003B0825"/>
    <w:rsid w:val="003B0D3A"/>
    <w:rsid w:val="003B1D95"/>
    <w:rsid w:val="003B290A"/>
    <w:rsid w:val="003B2A9A"/>
    <w:rsid w:val="003B30F5"/>
    <w:rsid w:val="003B3506"/>
    <w:rsid w:val="003B3DA7"/>
    <w:rsid w:val="003B47BA"/>
    <w:rsid w:val="003B4C85"/>
    <w:rsid w:val="003B4E70"/>
    <w:rsid w:val="003B5CE6"/>
    <w:rsid w:val="003B6186"/>
    <w:rsid w:val="003B61A9"/>
    <w:rsid w:val="003B78FF"/>
    <w:rsid w:val="003C09AE"/>
    <w:rsid w:val="003C09C5"/>
    <w:rsid w:val="003C1426"/>
    <w:rsid w:val="003C2CA7"/>
    <w:rsid w:val="003C2DC0"/>
    <w:rsid w:val="003C2ED5"/>
    <w:rsid w:val="003C38C5"/>
    <w:rsid w:val="003C3B6A"/>
    <w:rsid w:val="003C3E0E"/>
    <w:rsid w:val="003C3EAF"/>
    <w:rsid w:val="003C3EB9"/>
    <w:rsid w:val="003C3FB9"/>
    <w:rsid w:val="003C4C38"/>
    <w:rsid w:val="003C555A"/>
    <w:rsid w:val="003C599B"/>
    <w:rsid w:val="003C6465"/>
    <w:rsid w:val="003C6C1F"/>
    <w:rsid w:val="003C742B"/>
    <w:rsid w:val="003D114D"/>
    <w:rsid w:val="003D2283"/>
    <w:rsid w:val="003D28BE"/>
    <w:rsid w:val="003D2B2C"/>
    <w:rsid w:val="003D3078"/>
    <w:rsid w:val="003D3F79"/>
    <w:rsid w:val="003D438E"/>
    <w:rsid w:val="003D4B1E"/>
    <w:rsid w:val="003D5205"/>
    <w:rsid w:val="003D5EB0"/>
    <w:rsid w:val="003D6B34"/>
    <w:rsid w:val="003D7655"/>
    <w:rsid w:val="003D7E0A"/>
    <w:rsid w:val="003E0325"/>
    <w:rsid w:val="003E07F8"/>
    <w:rsid w:val="003E1364"/>
    <w:rsid w:val="003E1C09"/>
    <w:rsid w:val="003E1C51"/>
    <w:rsid w:val="003E2CCD"/>
    <w:rsid w:val="003E2F39"/>
    <w:rsid w:val="003E330F"/>
    <w:rsid w:val="003E38C5"/>
    <w:rsid w:val="003E46C4"/>
    <w:rsid w:val="003E482A"/>
    <w:rsid w:val="003E4A0A"/>
    <w:rsid w:val="003E4ED5"/>
    <w:rsid w:val="003E5666"/>
    <w:rsid w:val="003E56A8"/>
    <w:rsid w:val="003E5D42"/>
    <w:rsid w:val="003E5E95"/>
    <w:rsid w:val="003E6184"/>
    <w:rsid w:val="003E6ACF"/>
    <w:rsid w:val="003E7056"/>
    <w:rsid w:val="003E72C2"/>
    <w:rsid w:val="003F02DB"/>
    <w:rsid w:val="003F093E"/>
    <w:rsid w:val="003F098D"/>
    <w:rsid w:val="003F0D47"/>
    <w:rsid w:val="003F0F2D"/>
    <w:rsid w:val="003F134A"/>
    <w:rsid w:val="003F2EF6"/>
    <w:rsid w:val="003F3042"/>
    <w:rsid w:val="003F349F"/>
    <w:rsid w:val="003F3729"/>
    <w:rsid w:val="003F3DE4"/>
    <w:rsid w:val="003F5241"/>
    <w:rsid w:val="003F5A7F"/>
    <w:rsid w:val="003F5D63"/>
    <w:rsid w:val="003F5E6D"/>
    <w:rsid w:val="003F6198"/>
    <w:rsid w:val="003F7604"/>
    <w:rsid w:val="003F7FAB"/>
    <w:rsid w:val="00400658"/>
    <w:rsid w:val="00400FFE"/>
    <w:rsid w:val="0040115C"/>
    <w:rsid w:val="00401931"/>
    <w:rsid w:val="00401B44"/>
    <w:rsid w:val="00401BB6"/>
    <w:rsid w:val="004022E3"/>
    <w:rsid w:val="00402435"/>
    <w:rsid w:val="0040326A"/>
    <w:rsid w:val="00403278"/>
    <w:rsid w:val="0040373D"/>
    <w:rsid w:val="00403820"/>
    <w:rsid w:val="00404574"/>
    <w:rsid w:val="00404AAE"/>
    <w:rsid w:val="00405006"/>
    <w:rsid w:val="00406564"/>
    <w:rsid w:val="00407430"/>
    <w:rsid w:val="00410A7A"/>
    <w:rsid w:val="00411182"/>
    <w:rsid w:val="00411554"/>
    <w:rsid w:val="00411687"/>
    <w:rsid w:val="0041172D"/>
    <w:rsid w:val="004117D4"/>
    <w:rsid w:val="00411BF1"/>
    <w:rsid w:val="00412671"/>
    <w:rsid w:val="00412FC7"/>
    <w:rsid w:val="0041310B"/>
    <w:rsid w:val="00413ED3"/>
    <w:rsid w:val="00414423"/>
    <w:rsid w:val="00414C09"/>
    <w:rsid w:val="00414DE0"/>
    <w:rsid w:val="00414F04"/>
    <w:rsid w:val="0041507A"/>
    <w:rsid w:val="004153F9"/>
    <w:rsid w:val="004154E5"/>
    <w:rsid w:val="00415743"/>
    <w:rsid w:val="00415838"/>
    <w:rsid w:val="00415AA1"/>
    <w:rsid w:val="00416A2F"/>
    <w:rsid w:val="00416BB3"/>
    <w:rsid w:val="00416DB8"/>
    <w:rsid w:val="00417120"/>
    <w:rsid w:val="004172BC"/>
    <w:rsid w:val="00417582"/>
    <w:rsid w:val="00417F02"/>
    <w:rsid w:val="00420181"/>
    <w:rsid w:val="0042070B"/>
    <w:rsid w:val="00420748"/>
    <w:rsid w:val="00420961"/>
    <w:rsid w:val="00420AF4"/>
    <w:rsid w:val="00421034"/>
    <w:rsid w:val="004215A3"/>
    <w:rsid w:val="004216EE"/>
    <w:rsid w:val="004219BA"/>
    <w:rsid w:val="004230E6"/>
    <w:rsid w:val="00423751"/>
    <w:rsid w:val="0042447D"/>
    <w:rsid w:val="00424A7D"/>
    <w:rsid w:val="00424A86"/>
    <w:rsid w:val="00424D6F"/>
    <w:rsid w:val="00424ED0"/>
    <w:rsid w:val="00424F14"/>
    <w:rsid w:val="004267D2"/>
    <w:rsid w:val="00426F52"/>
    <w:rsid w:val="004271C6"/>
    <w:rsid w:val="004273E1"/>
    <w:rsid w:val="00427455"/>
    <w:rsid w:val="00427952"/>
    <w:rsid w:val="00427B3C"/>
    <w:rsid w:val="00427E28"/>
    <w:rsid w:val="0043095E"/>
    <w:rsid w:val="0043187D"/>
    <w:rsid w:val="004325F2"/>
    <w:rsid w:val="00432620"/>
    <w:rsid w:val="00432654"/>
    <w:rsid w:val="00432680"/>
    <w:rsid w:val="00432B30"/>
    <w:rsid w:val="00432E22"/>
    <w:rsid w:val="004334A8"/>
    <w:rsid w:val="004347B9"/>
    <w:rsid w:val="00435221"/>
    <w:rsid w:val="00436074"/>
    <w:rsid w:val="0043667B"/>
    <w:rsid w:val="004377BB"/>
    <w:rsid w:val="00437844"/>
    <w:rsid w:val="004379D0"/>
    <w:rsid w:val="00437C9F"/>
    <w:rsid w:val="004400CC"/>
    <w:rsid w:val="00440832"/>
    <w:rsid w:val="004409CB"/>
    <w:rsid w:val="00440FD1"/>
    <w:rsid w:val="004420B0"/>
    <w:rsid w:val="0044265F"/>
    <w:rsid w:val="0044268E"/>
    <w:rsid w:val="00444D4B"/>
    <w:rsid w:val="00445526"/>
    <w:rsid w:val="00445A5A"/>
    <w:rsid w:val="00446153"/>
    <w:rsid w:val="00446C50"/>
    <w:rsid w:val="00447B42"/>
    <w:rsid w:val="0045009F"/>
    <w:rsid w:val="004506EF"/>
    <w:rsid w:val="004509F5"/>
    <w:rsid w:val="00450B4E"/>
    <w:rsid w:val="004510F6"/>
    <w:rsid w:val="004512B8"/>
    <w:rsid w:val="00451A1B"/>
    <w:rsid w:val="00451DE4"/>
    <w:rsid w:val="00451EA9"/>
    <w:rsid w:val="004524F9"/>
    <w:rsid w:val="00452538"/>
    <w:rsid w:val="00452B62"/>
    <w:rsid w:val="0045318F"/>
    <w:rsid w:val="00453235"/>
    <w:rsid w:val="0045359D"/>
    <w:rsid w:val="00453F87"/>
    <w:rsid w:val="00454167"/>
    <w:rsid w:val="004541EC"/>
    <w:rsid w:val="00454298"/>
    <w:rsid w:val="00454FCF"/>
    <w:rsid w:val="00455169"/>
    <w:rsid w:val="004559DF"/>
    <w:rsid w:val="00455BF0"/>
    <w:rsid w:val="00455E4D"/>
    <w:rsid w:val="00456983"/>
    <w:rsid w:val="0045776A"/>
    <w:rsid w:val="004605DD"/>
    <w:rsid w:val="00460BA9"/>
    <w:rsid w:val="00461534"/>
    <w:rsid w:val="00461574"/>
    <w:rsid w:val="0046297B"/>
    <w:rsid w:val="00463375"/>
    <w:rsid w:val="0046349C"/>
    <w:rsid w:val="00463DB0"/>
    <w:rsid w:val="00464259"/>
    <w:rsid w:val="00464DC6"/>
    <w:rsid w:val="00465019"/>
    <w:rsid w:val="00465228"/>
    <w:rsid w:val="00465742"/>
    <w:rsid w:val="00465F88"/>
    <w:rsid w:val="0046622E"/>
    <w:rsid w:val="0046791D"/>
    <w:rsid w:val="00467D52"/>
    <w:rsid w:val="00470386"/>
    <w:rsid w:val="00470586"/>
    <w:rsid w:val="00470FD1"/>
    <w:rsid w:val="00471305"/>
    <w:rsid w:val="004718BC"/>
    <w:rsid w:val="004730BE"/>
    <w:rsid w:val="00473180"/>
    <w:rsid w:val="004739C9"/>
    <w:rsid w:val="00473E6F"/>
    <w:rsid w:val="0047451C"/>
    <w:rsid w:val="00474729"/>
    <w:rsid w:val="00475969"/>
    <w:rsid w:val="004759FF"/>
    <w:rsid w:val="00475B35"/>
    <w:rsid w:val="00475E77"/>
    <w:rsid w:val="004763E2"/>
    <w:rsid w:val="00476A84"/>
    <w:rsid w:val="004779E2"/>
    <w:rsid w:val="00480165"/>
    <w:rsid w:val="00480282"/>
    <w:rsid w:val="0048061E"/>
    <w:rsid w:val="00480E1F"/>
    <w:rsid w:val="004815D7"/>
    <w:rsid w:val="004819D0"/>
    <w:rsid w:val="00482A89"/>
    <w:rsid w:val="00483815"/>
    <w:rsid w:val="00483E20"/>
    <w:rsid w:val="0048464C"/>
    <w:rsid w:val="00484AB6"/>
    <w:rsid w:val="00484ECF"/>
    <w:rsid w:val="0048544C"/>
    <w:rsid w:val="00485DEA"/>
    <w:rsid w:val="00486198"/>
    <w:rsid w:val="0048650D"/>
    <w:rsid w:val="0048675F"/>
    <w:rsid w:val="0048774A"/>
    <w:rsid w:val="00487C99"/>
    <w:rsid w:val="00487E2D"/>
    <w:rsid w:val="00490847"/>
    <w:rsid w:val="0049274A"/>
    <w:rsid w:val="00492A74"/>
    <w:rsid w:val="0049313E"/>
    <w:rsid w:val="004934CF"/>
    <w:rsid w:val="0049386E"/>
    <w:rsid w:val="00494F79"/>
    <w:rsid w:val="00495122"/>
    <w:rsid w:val="00495DBF"/>
    <w:rsid w:val="00495F37"/>
    <w:rsid w:val="00496350"/>
    <w:rsid w:val="004966E1"/>
    <w:rsid w:val="00496D5D"/>
    <w:rsid w:val="00496E19"/>
    <w:rsid w:val="00497238"/>
    <w:rsid w:val="0049725F"/>
    <w:rsid w:val="00497FF5"/>
    <w:rsid w:val="004A1526"/>
    <w:rsid w:val="004A188C"/>
    <w:rsid w:val="004A19DE"/>
    <w:rsid w:val="004A1CA2"/>
    <w:rsid w:val="004A1CB5"/>
    <w:rsid w:val="004A1F62"/>
    <w:rsid w:val="004A2701"/>
    <w:rsid w:val="004A2760"/>
    <w:rsid w:val="004A27B1"/>
    <w:rsid w:val="004A28BD"/>
    <w:rsid w:val="004A2CF9"/>
    <w:rsid w:val="004A3084"/>
    <w:rsid w:val="004A35DC"/>
    <w:rsid w:val="004A3922"/>
    <w:rsid w:val="004A3FBC"/>
    <w:rsid w:val="004A5014"/>
    <w:rsid w:val="004A5C03"/>
    <w:rsid w:val="004A632D"/>
    <w:rsid w:val="004A6447"/>
    <w:rsid w:val="004A683F"/>
    <w:rsid w:val="004A693A"/>
    <w:rsid w:val="004A6C59"/>
    <w:rsid w:val="004A726D"/>
    <w:rsid w:val="004A7DBB"/>
    <w:rsid w:val="004B1F7C"/>
    <w:rsid w:val="004B2995"/>
    <w:rsid w:val="004B3133"/>
    <w:rsid w:val="004B3659"/>
    <w:rsid w:val="004B3910"/>
    <w:rsid w:val="004B3C0C"/>
    <w:rsid w:val="004B453D"/>
    <w:rsid w:val="004B471C"/>
    <w:rsid w:val="004B4ACD"/>
    <w:rsid w:val="004B5375"/>
    <w:rsid w:val="004B54DD"/>
    <w:rsid w:val="004B5CDE"/>
    <w:rsid w:val="004B69D2"/>
    <w:rsid w:val="004B6C9B"/>
    <w:rsid w:val="004C17D9"/>
    <w:rsid w:val="004C19BD"/>
    <w:rsid w:val="004C1AB2"/>
    <w:rsid w:val="004C21EE"/>
    <w:rsid w:val="004C2F2B"/>
    <w:rsid w:val="004C346B"/>
    <w:rsid w:val="004C3874"/>
    <w:rsid w:val="004C4017"/>
    <w:rsid w:val="004C47F2"/>
    <w:rsid w:val="004C5280"/>
    <w:rsid w:val="004C5A6A"/>
    <w:rsid w:val="004C62AC"/>
    <w:rsid w:val="004C66EA"/>
    <w:rsid w:val="004C70CB"/>
    <w:rsid w:val="004C758D"/>
    <w:rsid w:val="004C7CC0"/>
    <w:rsid w:val="004D02F4"/>
    <w:rsid w:val="004D0467"/>
    <w:rsid w:val="004D1496"/>
    <w:rsid w:val="004D19DA"/>
    <w:rsid w:val="004D1AF6"/>
    <w:rsid w:val="004D2E71"/>
    <w:rsid w:val="004D2FB9"/>
    <w:rsid w:val="004D3FC4"/>
    <w:rsid w:val="004D424D"/>
    <w:rsid w:val="004D4A0F"/>
    <w:rsid w:val="004D5899"/>
    <w:rsid w:val="004D5A1C"/>
    <w:rsid w:val="004D5E00"/>
    <w:rsid w:val="004D7505"/>
    <w:rsid w:val="004E00E2"/>
    <w:rsid w:val="004E0DB7"/>
    <w:rsid w:val="004E14FF"/>
    <w:rsid w:val="004E22D8"/>
    <w:rsid w:val="004E2974"/>
    <w:rsid w:val="004E30D6"/>
    <w:rsid w:val="004E4551"/>
    <w:rsid w:val="004E4774"/>
    <w:rsid w:val="004E481D"/>
    <w:rsid w:val="004E4C49"/>
    <w:rsid w:val="004E596D"/>
    <w:rsid w:val="004E5A12"/>
    <w:rsid w:val="004E638D"/>
    <w:rsid w:val="004E75DB"/>
    <w:rsid w:val="004F093B"/>
    <w:rsid w:val="004F0D7D"/>
    <w:rsid w:val="004F151B"/>
    <w:rsid w:val="004F190F"/>
    <w:rsid w:val="004F1CD6"/>
    <w:rsid w:val="004F214E"/>
    <w:rsid w:val="004F225E"/>
    <w:rsid w:val="004F2F7A"/>
    <w:rsid w:val="004F3301"/>
    <w:rsid w:val="004F3B27"/>
    <w:rsid w:val="004F3C3C"/>
    <w:rsid w:val="004F4240"/>
    <w:rsid w:val="004F44F9"/>
    <w:rsid w:val="004F5129"/>
    <w:rsid w:val="004F5B2F"/>
    <w:rsid w:val="004F612D"/>
    <w:rsid w:val="004F61B1"/>
    <w:rsid w:val="004F630F"/>
    <w:rsid w:val="004F66C4"/>
    <w:rsid w:val="004F66F2"/>
    <w:rsid w:val="004F70A0"/>
    <w:rsid w:val="004F72C7"/>
    <w:rsid w:val="004F7ACB"/>
    <w:rsid w:val="004F7E24"/>
    <w:rsid w:val="0050017B"/>
    <w:rsid w:val="0050034A"/>
    <w:rsid w:val="0050091C"/>
    <w:rsid w:val="00501B92"/>
    <w:rsid w:val="00501C6B"/>
    <w:rsid w:val="00501F4A"/>
    <w:rsid w:val="0050213E"/>
    <w:rsid w:val="005021B9"/>
    <w:rsid w:val="0050267E"/>
    <w:rsid w:val="00502B71"/>
    <w:rsid w:val="00503F70"/>
    <w:rsid w:val="00504816"/>
    <w:rsid w:val="00505497"/>
    <w:rsid w:val="00505A16"/>
    <w:rsid w:val="00505D17"/>
    <w:rsid w:val="00506D12"/>
    <w:rsid w:val="00507031"/>
    <w:rsid w:val="0050738F"/>
    <w:rsid w:val="00507451"/>
    <w:rsid w:val="00507D24"/>
    <w:rsid w:val="005100C4"/>
    <w:rsid w:val="00510ADB"/>
    <w:rsid w:val="00510C04"/>
    <w:rsid w:val="0051126A"/>
    <w:rsid w:val="00511F6A"/>
    <w:rsid w:val="005123A3"/>
    <w:rsid w:val="005124B9"/>
    <w:rsid w:val="005126B1"/>
    <w:rsid w:val="00512753"/>
    <w:rsid w:val="00513267"/>
    <w:rsid w:val="00513C6A"/>
    <w:rsid w:val="00514089"/>
    <w:rsid w:val="00514934"/>
    <w:rsid w:val="00514C72"/>
    <w:rsid w:val="00514F64"/>
    <w:rsid w:val="0051678F"/>
    <w:rsid w:val="00517869"/>
    <w:rsid w:val="00517C6E"/>
    <w:rsid w:val="00517DDC"/>
    <w:rsid w:val="00520105"/>
    <w:rsid w:val="0052102C"/>
    <w:rsid w:val="0052127D"/>
    <w:rsid w:val="00521E59"/>
    <w:rsid w:val="005221C4"/>
    <w:rsid w:val="00522F6C"/>
    <w:rsid w:val="005235B8"/>
    <w:rsid w:val="00523CC1"/>
    <w:rsid w:val="00524A9C"/>
    <w:rsid w:val="0052603E"/>
    <w:rsid w:val="00527140"/>
    <w:rsid w:val="00527503"/>
    <w:rsid w:val="005275AD"/>
    <w:rsid w:val="00527B46"/>
    <w:rsid w:val="00530607"/>
    <w:rsid w:val="00530855"/>
    <w:rsid w:val="0053092D"/>
    <w:rsid w:val="005315E3"/>
    <w:rsid w:val="00531747"/>
    <w:rsid w:val="00531BDC"/>
    <w:rsid w:val="0053240C"/>
    <w:rsid w:val="00532AC5"/>
    <w:rsid w:val="00533C98"/>
    <w:rsid w:val="00533D94"/>
    <w:rsid w:val="00534258"/>
    <w:rsid w:val="005342A0"/>
    <w:rsid w:val="00534671"/>
    <w:rsid w:val="00534CB1"/>
    <w:rsid w:val="005351A3"/>
    <w:rsid w:val="00535454"/>
    <w:rsid w:val="005369EB"/>
    <w:rsid w:val="00536BE1"/>
    <w:rsid w:val="00536F9E"/>
    <w:rsid w:val="0053709A"/>
    <w:rsid w:val="0053776D"/>
    <w:rsid w:val="005377CA"/>
    <w:rsid w:val="005407F3"/>
    <w:rsid w:val="00541255"/>
    <w:rsid w:val="00541998"/>
    <w:rsid w:val="005429F1"/>
    <w:rsid w:val="005434FE"/>
    <w:rsid w:val="00544739"/>
    <w:rsid w:val="00544BBB"/>
    <w:rsid w:val="00544C95"/>
    <w:rsid w:val="00544F7F"/>
    <w:rsid w:val="00544FF2"/>
    <w:rsid w:val="00545E62"/>
    <w:rsid w:val="00546555"/>
    <w:rsid w:val="00546C1E"/>
    <w:rsid w:val="00546E93"/>
    <w:rsid w:val="00547717"/>
    <w:rsid w:val="0055011A"/>
    <w:rsid w:val="005505BD"/>
    <w:rsid w:val="00550967"/>
    <w:rsid w:val="0055103A"/>
    <w:rsid w:val="00551518"/>
    <w:rsid w:val="005517FC"/>
    <w:rsid w:val="00551851"/>
    <w:rsid w:val="00551A45"/>
    <w:rsid w:val="005520B1"/>
    <w:rsid w:val="00552121"/>
    <w:rsid w:val="0055253E"/>
    <w:rsid w:val="00553ACA"/>
    <w:rsid w:val="00553DE5"/>
    <w:rsid w:val="005551E0"/>
    <w:rsid w:val="00555761"/>
    <w:rsid w:val="00555AA3"/>
    <w:rsid w:val="00555BBE"/>
    <w:rsid w:val="00555C58"/>
    <w:rsid w:val="00556432"/>
    <w:rsid w:val="00556DD5"/>
    <w:rsid w:val="005571CB"/>
    <w:rsid w:val="005617CF"/>
    <w:rsid w:val="0056194A"/>
    <w:rsid w:val="00561A7E"/>
    <w:rsid w:val="00561BCB"/>
    <w:rsid w:val="00563091"/>
    <w:rsid w:val="005630A8"/>
    <w:rsid w:val="00563181"/>
    <w:rsid w:val="005631B2"/>
    <w:rsid w:val="005641CC"/>
    <w:rsid w:val="005645A4"/>
    <w:rsid w:val="00564D59"/>
    <w:rsid w:val="005653FD"/>
    <w:rsid w:val="005657EC"/>
    <w:rsid w:val="00565DD5"/>
    <w:rsid w:val="00566822"/>
    <w:rsid w:val="00566CA6"/>
    <w:rsid w:val="00566D14"/>
    <w:rsid w:val="00567213"/>
    <w:rsid w:val="0056730F"/>
    <w:rsid w:val="005678C1"/>
    <w:rsid w:val="005704D6"/>
    <w:rsid w:val="00570967"/>
    <w:rsid w:val="00570B5E"/>
    <w:rsid w:val="005713D2"/>
    <w:rsid w:val="00571A77"/>
    <w:rsid w:val="00572222"/>
    <w:rsid w:val="00572328"/>
    <w:rsid w:val="0057234A"/>
    <w:rsid w:val="00572351"/>
    <w:rsid w:val="005725C7"/>
    <w:rsid w:val="00572C02"/>
    <w:rsid w:val="0057308D"/>
    <w:rsid w:val="005734D3"/>
    <w:rsid w:val="00573F6D"/>
    <w:rsid w:val="00573FBE"/>
    <w:rsid w:val="0057414F"/>
    <w:rsid w:val="0057433B"/>
    <w:rsid w:val="00574735"/>
    <w:rsid w:val="00574E2D"/>
    <w:rsid w:val="00574EF3"/>
    <w:rsid w:val="00575553"/>
    <w:rsid w:val="0057571B"/>
    <w:rsid w:val="00575E5B"/>
    <w:rsid w:val="00575F74"/>
    <w:rsid w:val="005766AD"/>
    <w:rsid w:val="00580013"/>
    <w:rsid w:val="0058019F"/>
    <w:rsid w:val="0058072A"/>
    <w:rsid w:val="0058093A"/>
    <w:rsid w:val="005821B7"/>
    <w:rsid w:val="00583099"/>
    <w:rsid w:val="00583483"/>
    <w:rsid w:val="005835FE"/>
    <w:rsid w:val="00584A4D"/>
    <w:rsid w:val="00584ACF"/>
    <w:rsid w:val="00584F7D"/>
    <w:rsid w:val="00585694"/>
    <w:rsid w:val="00585D82"/>
    <w:rsid w:val="00585EA4"/>
    <w:rsid w:val="00586FD3"/>
    <w:rsid w:val="00587550"/>
    <w:rsid w:val="005900CC"/>
    <w:rsid w:val="00590181"/>
    <w:rsid w:val="005902FB"/>
    <w:rsid w:val="0059039C"/>
    <w:rsid w:val="005905D9"/>
    <w:rsid w:val="00591A75"/>
    <w:rsid w:val="00591AEE"/>
    <w:rsid w:val="00592CEC"/>
    <w:rsid w:val="00593040"/>
    <w:rsid w:val="005942F8"/>
    <w:rsid w:val="00596408"/>
    <w:rsid w:val="00596A96"/>
    <w:rsid w:val="00596AF6"/>
    <w:rsid w:val="00596C48"/>
    <w:rsid w:val="00596FC7"/>
    <w:rsid w:val="005979A5"/>
    <w:rsid w:val="005A0CCC"/>
    <w:rsid w:val="005A1563"/>
    <w:rsid w:val="005A1AA2"/>
    <w:rsid w:val="005A1CC3"/>
    <w:rsid w:val="005A227C"/>
    <w:rsid w:val="005A2FBF"/>
    <w:rsid w:val="005A3812"/>
    <w:rsid w:val="005A4AAE"/>
    <w:rsid w:val="005A5376"/>
    <w:rsid w:val="005A5383"/>
    <w:rsid w:val="005A7497"/>
    <w:rsid w:val="005A7810"/>
    <w:rsid w:val="005A7D28"/>
    <w:rsid w:val="005B07EF"/>
    <w:rsid w:val="005B09D7"/>
    <w:rsid w:val="005B0DF2"/>
    <w:rsid w:val="005B14BB"/>
    <w:rsid w:val="005B1C75"/>
    <w:rsid w:val="005B2933"/>
    <w:rsid w:val="005B2F1A"/>
    <w:rsid w:val="005B339F"/>
    <w:rsid w:val="005B3A72"/>
    <w:rsid w:val="005B3C06"/>
    <w:rsid w:val="005B3E27"/>
    <w:rsid w:val="005B3EE6"/>
    <w:rsid w:val="005B4056"/>
    <w:rsid w:val="005B4E5B"/>
    <w:rsid w:val="005B5D0E"/>
    <w:rsid w:val="005B6786"/>
    <w:rsid w:val="005B6E85"/>
    <w:rsid w:val="005B7087"/>
    <w:rsid w:val="005B7689"/>
    <w:rsid w:val="005C1893"/>
    <w:rsid w:val="005C2480"/>
    <w:rsid w:val="005C25B6"/>
    <w:rsid w:val="005C291E"/>
    <w:rsid w:val="005C346C"/>
    <w:rsid w:val="005C393C"/>
    <w:rsid w:val="005C3DB6"/>
    <w:rsid w:val="005C4B46"/>
    <w:rsid w:val="005C502E"/>
    <w:rsid w:val="005C584A"/>
    <w:rsid w:val="005C5CEE"/>
    <w:rsid w:val="005C61EF"/>
    <w:rsid w:val="005C6E04"/>
    <w:rsid w:val="005C7024"/>
    <w:rsid w:val="005C7586"/>
    <w:rsid w:val="005C7A51"/>
    <w:rsid w:val="005C7F38"/>
    <w:rsid w:val="005D0369"/>
    <w:rsid w:val="005D0638"/>
    <w:rsid w:val="005D0E17"/>
    <w:rsid w:val="005D0E5E"/>
    <w:rsid w:val="005D1570"/>
    <w:rsid w:val="005D1930"/>
    <w:rsid w:val="005D193C"/>
    <w:rsid w:val="005D1B8B"/>
    <w:rsid w:val="005D21FD"/>
    <w:rsid w:val="005D2F2D"/>
    <w:rsid w:val="005D3340"/>
    <w:rsid w:val="005D3A54"/>
    <w:rsid w:val="005D42EC"/>
    <w:rsid w:val="005D477B"/>
    <w:rsid w:val="005D49C4"/>
    <w:rsid w:val="005D49E0"/>
    <w:rsid w:val="005D4DD0"/>
    <w:rsid w:val="005D4F26"/>
    <w:rsid w:val="005D5211"/>
    <w:rsid w:val="005D617C"/>
    <w:rsid w:val="005D686A"/>
    <w:rsid w:val="005D6B97"/>
    <w:rsid w:val="005D751E"/>
    <w:rsid w:val="005D798C"/>
    <w:rsid w:val="005D79C1"/>
    <w:rsid w:val="005D7CD0"/>
    <w:rsid w:val="005D7E90"/>
    <w:rsid w:val="005E01AD"/>
    <w:rsid w:val="005E12FB"/>
    <w:rsid w:val="005E135A"/>
    <w:rsid w:val="005E1BCC"/>
    <w:rsid w:val="005E2B47"/>
    <w:rsid w:val="005E2CC5"/>
    <w:rsid w:val="005E3858"/>
    <w:rsid w:val="005E415E"/>
    <w:rsid w:val="005E45B1"/>
    <w:rsid w:val="005E4860"/>
    <w:rsid w:val="005E5574"/>
    <w:rsid w:val="005E5CB0"/>
    <w:rsid w:val="005E7839"/>
    <w:rsid w:val="005E7A5A"/>
    <w:rsid w:val="005E7DDA"/>
    <w:rsid w:val="005F006A"/>
    <w:rsid w:val="005F112A"/>
    <w:rsid w:val="005F2554"/>
    <w:rsid w:val="005F2D66"/>
    <w:rsid w:val="005F31FC"/>
    <w:rsid w:val="005F3306"/>
    <w:rsid w:val="005F3A07"/>
    <w:rsid w:val="005F4045"/>
    <w:rsid w:val="005F4884"/>
    <w:rsid w:val="005F4C09"/>
    <w:rsid w:val="005F5499"/>
    <w:rsid w:val="005F5AAD"/>
    <w:rsid w:val="005F6062"/>
    <w:rsid w:val="005F637E"/>
    <w:rsid w:val="005F7281"/>
    <w:rsid w:val="005F75BA"/>
    <w:rsid w:val="005F7AA4"/>
    <w:rsid w:val="005F7D9F"/>
    <w:rsid w:val="006009D3"/>
    <w:rsid w:val="006014A3"/>
    <w:rsid w:val="00601D45"/>
    <w:rsid w:val="00601E53"/>
    <w:rsid w:val="00602522"/>
    <w:rsid w:val="00603110"/>
    <w:rsid w:val="006039D2"/>
    <w:rsid w:val="00603D60"/>
    <w:rsid w:val="00603DD2"/>
    <w:rsid w:val="0060457B"/>
    <w:rsid w:val="006047C8"/>
    <w:rsid w:val="00604B83"/>
    <w:rsid w:val="00604E92"/>
    <w:rsid w:val="006051B8"/>
    <w:rsid w:val="00605A6C"/>
    <w:rsid w:val="00605BEF"/>
    <w:rsid w:val="006061E6"/>
    <w:rsid w:val="006069F3"/>
    <w:rsid w:val="00606D2C"/>
    <w:rsid w:val="00607179"/>
    <w:rsid w:val="0060769F"/>
    <w:rsid w:val="00607B29"/>
    <w:rsid w:val="00607D02"/>
    <w:rsid w:val="00610B1D"/>
    <w:rsid w:val="00612775"/>
    <w:rsid w:val="006128DB"/>
    <w:rsid w:val="00612907"/>
    <w:rsid w:val="00612985"/>
    <w:rsid w:val="0061329D"/>
    <w:rsid w:val="006132FA"/>
    <w:rsid w:val="0061415E"/>
    <w:rsid w:val="0061466F"/>
    <w:rsid w:val="00615088"/>
    <w:rsid w:val="0061591E"/>
    <w:rsid w:val="00616DBC"/>
    <w:rsid w:val="006171F9"/>
    <w:rsid w:val="0061764D"/>
    <w:rsid w:val="0062086E"/>
    <w:rsid w:val="006209F3"/>
    <w:rsid w:val="006211BE"/>
    <w:rsid w:val="006216FB"/>
    <w:rsid w:val="00621FD5"/>
    <w:rsid w:val="00622461"/>
    <w:rsid w:val="00623449"/>
    <w:rsid w:val="00623ABB"/>
    <w:rsid w:val="00623B54"/>
    <w:rsid w:val="00623DAF"/>
    <w:rsid w:val="006243C5"/>
    <w:rsid w:val="00624491"/>
    <w:rsid w:val="006246B1"/>
    <w:rsid w:val="00624BAD"/>
    <w:rsid w:val="00624C24"/>
    <w:rsid w:val="00624DA3"/>
    <w:rsid w:val="00625241"/>
    <w:rsid w:val="00625399"/>
    <w:rsid w:val="0062563E"/>
    <w:rsid w:val="0062635E"/>
    <w:rsid w:val="00626371"/>
    <w:rsid w:val="00626BEF"/>
    <w:rsid w:val="00626DA4"/>
    <w:rsid w:val="0062794B"/>
    <w:rsid w:val="00627B2B"/>
    <w:rsid w:val="00627C8F"/>
    <w:rsid w:val="00627F05"/>
    <w:rsid w:val="006308E0"/>
    <w:rsid w:val="00630F58"/>
    <w:rsid w:val="006318B1"/>
    <w:rsid w:val="00631ED3"/>
    <w:rsid w:val="00631EF6"/>
    <w:rsid w:val="00632598"/>
    <w:rsid w:val="00632CFA"/>
    <w:rsid w:val="0063455B"/>
    <w:rsid w:val="00635656"/>
    <w:rsid w:val="00636217"/>
    <w:rsid w:val="00636BCA"/>
    <w:rsid w:val="0063758F"/>
    <w:rsid w:val="00637595"/>
    <w:rsid w:val="00637966"/>
    <w:rsid w:val="0064104A"/>
    <w:rsid w:val="0064106D"/>
    <w:rsid w:val="00641BEC"/>
    <w:rsid w:val="00642DFC"/>
    <w:rsid w:val="006432F6"/>
    <w:rsid w:val="0064352F"/>
    <w:rsid w:val="006438B4"/>
    <w:rsid w:val="0064452D"/>
    <w:rsid w:val="00644925"/>
    <w:rsid w:val="00644CD5"/>
    <w:rsid w:val="00645461"/>
    <w:rsid w:val="00645E63"/>
    <w:rsid w:val="0064609C"/>
    <w:rsid w:val="00646BE6"/>
    <w:rsid w:val="00646CD3"/>
    <w:rsid w:val="00647895"/>
    <w:rsid w:val="006478DD"/>
    <w:rsid w:val="006478F3"/>
    <w:rsid w:val="00647C60"/>
    <w:rsid w:val="00647F2C"/>
    <w:rsid w:val="006500ED"/>
    <w:rsid w:val="00650811"/>
    <w:rsid w:val="00650F19"/>
    <w:rsid w:val="006512CC"/>
    <w:rsid w:val="00651A9F"/>
    <w:rsid w:val="0065235B"/>
    <w:rsid w:val="0065236B"/>
    <w:rsid w:val="00652689"/>
    <w:rsid w:val="00652C25"/>
    <w:rsid w:val="006530BA"/>
    <w:rsid w:val="00653177"/>
    <w:rsid w:val="00653437"/>
    <w:rsid w:val="00653879"/>
    <w:rsid w:val="00655AE2"/>
    <w:rsid w:val="00655E2C"/>
    <w:rsid w:val="0065787D"/>
    <w:rsid w:val="00657A40"/>
    <w:rsid w:val="00657B52"/>
    <w:rsid w:val="0066079D"/>
    <w:rsid w:val="00660C53"/>
    <w:rsid w:val="006622B1"/>
    <w:rsid w:val="00662EAF"/>
    <w:rsid w:val="00663DA2"/>
    <w:rsid w:val="00663FB7"/>
    <w:rsid w:val="00663FDF"/>
    <w:rsid w:val="00664855"/>
    <w:rsid w:val="00664CEA"/>
    <w:rsid w:val="00664D5E"/>
    <w:rsid w:val="0066575D"/>
    <w:rsid w:val="00665DA1"/>
    <w:rsid w:val="00666A1C"/>
    <w:rsid w:val="00666B47"/>
    <w:rsid w:val="00666CE9"/>
    <w:rsid w:val="00666F91"/>
    <w:rsid w:val="0066711C"/>
    <w:rsid w:val="006677F0"/>
    <w:rsid w:val="00667B7F"/>
    <w:rsid w:val="00667F94"/>
    <w:rsid w:val="00671122"/>
    <w:rsid w:val="0067167C"/>
    <w:rsid w:val="006718B4"/>
    <w:rsid w:val="006723B6"/>
    <w:rsid w:val="00672D62"/>
    <w:rsid w:val="0067385D"/>
    <w:rsid w:val="006741B2"/>
    <w:rsid w:val="006746FA"/>
    <w:rsid w:val="00674B59"/>
    <w:rsid w:val="00674DE3"/>
    <w:rsid w:val="00674FB3"/>
    <w:rsid w:val="0067553F"/>
    <w:rsid w:val="006755BC"/>
    <w:rsid w:val="0067562A"/>
    <w:rsid w:val="00675633"/>
    <w:rsid w:val="00675801"/>
    <w:rsid w:val="00675B8B"/>
    <w:rsid w:val="00676161"/>
    <w:rsid w:val="0067666F"/>
    <w:rsid w:val="00676BAD"/>
    <w:rsid w:val="00677308"/>
    <w:rsid w:val="00677A1A"/>
    <w:rsid w:val="00677F19"/>
    <w:rsid w:val="0068078B"/>
    <w:rsid w:val="006812C5"/>
    <w:rsid w:val="006812CF"/>
    <w:rsid w:val="006814FF"/>
    <w:rsid w:val="00681D04"/>
    <w:rsid w:val="0068210C"/>
    <w:rsid w:val="006824C1"/>
    <w:rsid w:val="00682862"/>
    <w:rsid w:val="00682B38"/>
    <w:rsid w:val="0068321B"/>
    <w:rsid w:val="006832C6"/>
    <w:rsid w:val="006837E9"/>
    <w:rsid w:val="006845CA"/>
    <w:rsid w:val="00685CD2"/>
    <w:rsid w:val="006874E5"/>
    <w:rsid w:val="006875BF"/>
    <w:rsid w:val="006877C3"/>
    <w:rsid w:val="006879EA"/>
    <w:rsid w:val="00687DFA"/>
    <w:rsid w:val="00690884"/>
    <w:rsid w:val="006909DB"/>
    <w:rsid w:val="00690D0E"/>
    <w:rsid w:val="00690F41"/>
    <w:rsid w:val="006914D1"/>
    <w:rsid w:val="00692213"/>
    <w:rsid w:val="0069222A"/>
    <w:rsid w:val="00693546"/>
    <w:rsid w:val="00693D81"/>
    <w:rsid w:val="00694241"/>
    <w:rsid w:val="00694256"/>
    <w:rsid w:val="006947FD"/>
    <w:rsid w:val="00694945"/>
    <w:rsid w:val="006954F6"/>
    <w:rsid w:val="00696299"/>
    <w:rsid w:val="00696429"/>
    <w:rsid w:val="006968F9"/>
    <w:rsid w:val="006A1148"/>
    <w:rsid w:val="006A116A"/>
    <w:rsid w:val="006A331D"/>
    <w:rsid w:val="006A3D41"/>
    <w:rsid w:val="006A3E12"/>
    <w:rsid w:val="006A4020"/>
    <w:rsid w:val="006A4909"/>
    <w:rsid w:val="006A4ABE"/>
    <w:rsid w:val="006A4DE8"/>
    <w:rsid w:val="006A5294"/>
    <w:rsid w:val="006A5680"/>
    <w:rsid w:val="006A59A1"/>
    <w:rsid w:val="006A5B18"/>
    <w:rsid w:val="006A5DF8"/>
    <w:rsid w:val="006A6753"/>
    <w:rsid w:val="006A7732"/>
    <w:rsid w:val="006A7AA5"/>
    <w:rsid w:val="006A7BA0"/>
    <w:rsid w:val="006B003D"/>
    <w:rsid w:val="006B00A3"/>
    <w:rsid w:val="006B04ED"/>
    <w:rsid w:val="006B1BE5"/>
    <w:rsid w:val="006B2051"/>
    <w:rsid w:val="006B3168"/>
    <w:rsid w:val="006B323C"/>
    <w:rsid w:val="006B3687"/>
    <w:rsid w:val="006B3733"/>
    <w:rsid w:val="006B3D11"/>
    <w:rsid w:val="006B3D5B"/>
    <w:rsid w:val="006B3DF8"/>
    <w:rsid w:val="006B4139"/>
    <w:rsid w:val="006B4E8B"/>
    <w:rsid w:val="006B54D1"/>
    <w:rsid w:val="006B54EC"/>
    <w:rsid w:val="006B5509"/>
    <w:rsid w:val="006B56BB"/>
    <w:rsid w:val="006B6742"/>
    <w:rsid w:val="006B6850"/>
    <w:rsid w:val="006B7580"/>
    <w:rsid w:val="006B7A1B"/>
    <w:rsid w:val="006C021A"/>
    <w:rsid w:val="006C1A0D"/>
    <w:rsid w:val="006C257D"/>
    <w:rsid w:val="006C351F"/>
    <w:rsid w:val="006C3CDF"/>
    <w:rsid w:val="006C47A6"/>
    <w:rsid w:val="006C5504"/>
    <w:rsid w:val="006C5651"/>
    <w:rsid w:val="006C58CE"/>
    <w:rsid w:val="006C5918"/>
    <w:rsid w:val="006C5AC3"/>
    <w:rsid w:val="006C6CFA"/>
    <w:rsid w:val="006C706F"/>
    <w:rsid w:val="006C7266"/>
    <w:rsid w:val="006C7826"/>
    <w:rsid w:val="006C7FEF"/>
    <w:rsid w:val="006D067F"/>
    <w:rsid w:val="006D0CDB"/>
    <w:rsid w:val="006D11B4"/>
    <w:rsid w:val="006D198B"/>
    <w:rsid w:val="006D1EDD"/>
    <w:rsid w:val="006D275F"/>
    <w:rsid w:val="006D285D"/>
    <w:rsid w:val="006D2A79"/>
    <w:rsid w:val="006D2B69"/>
    <w:rsid w:val="006D2BC8"/>
    <w:rsid w:val="006D3465"/>
    <w:rsid w:val="006D3860"/>
    <w:rsid w:val="006D49F3"/>
    <w:rsid w:val="006D5282"/>
    <w:rsid w:val="006D58BB"/>
    <w:rsid w:val="006D61A3"/>
    <w:rsid w:val="006D6E2D"/>
    <w:rsid w:val="006D7259"/>
    <w:rsid w:val="006D757B"/>
    <w:rsid w:val="006D7E8E"/>
    <w:rsid w:val="006E13FC"/>
    <w:rsid w:val="006E1EBE"/>
    <w:rsid w:val="006E2006"/>
    <w:rsid w:val="006E2AC4"/>
    <w:rsid w:val="006E2CD0"/>
    <w:rsid w:val="006E3D26"/>
    <w:rsid w:val="006E42A0"/>
    <w:rsid w:val="006E4BD6"/>
    <w:rsid w:val="006E522F"/>
    <w:rsid w:val="006E5C8A"/>
    <w:rsid w:val="006E5D26"/>
    <w:rsid w:val="006E5EEA"/>
    <w:rsid w:val="006E6DE6"/>
    <w:rsid w:val="006E727F"/>
    <w:rsid w:val="006E769D"/>
    <w:rsid w:val="006E7720"/>
    <w:rsid w:val="006E7778"/>
    <w:rsid w:val="006F0013"/>
    <w:rsid w:val="006F0141"/>
    <w:rsid w:val="006F0C5A"/>
    <w:rsid w:val="006F1155"/>
    <w:rsid w:val="006F17AC"/>
    <w:rsid w:val="006F2370"/>
    <w:rsid w:val="006F27D1"/>
    <w:rsid w:val="006F3A18"/>
    <w:rsid w:val="006F3FC6"/>
    <w:rsid w:val="006F4A5A"/>
    <w:rsid w:val="006F577F"/>
    <w:rsid w:val="006F6E61"/>
    <w:rsid w:val="006F79BB"/>
    <w:rsid w:val="00700024"/>
    <w:rsid w:val="007002CD"/>
    <w:rsid w:val="00700A0B"/>
    <w:rsid w:val="007015DE"/>
    <w:rsid w:val="00701A60"/>
    <w:rsid w:val="00703349"/>
    <w:rsid w:val="007038BC"/>
    <w:rsid w:val="007039D5"/>
    <w:rsid w:val="00703A02"/>
    <w:rsid w:val="00703CFB"/>
    <w:rsid w:val="00704505"/>
    <w:rsid w:val="007048D1"/>
    <w:rsid w:val="00704B0D"/>
    <w:rsid w:val="00705C55"/>
    <w:rsid w:val="007060FA"/>
    <w:rsid w:val="0070718C"/>
    <w:rsid w:val="0070757F"/>
    <w:rsid w:val="007100E5"/>
    <w:rsid w:val="0071063C"/>
    <w:rsid w:val="00710FDD"/>
    <w:rsid w:val="0071155F"/>
    <w:rsid w:val="00711B24"/>
    <w:rsid w:val="00712134"/>
    <w:rsid w:val="00712B5B"/>
    <w:rsid w:val="00712D99"/>
    <w:rsid w:val="007137ED"/>
    <w:rsid w:val="00713A38"/>
    <w:rsid w:val="00715CEA"/>
    <w:rsid w:val="00715D0C"/>
    <w:rsid w:val="0071605A"/>
    <w:rsid w:val="0071616A"/>
    <w:rsid w:val="00716327"/>
    <w:rsid w:val="0071732C"/>
    <w:rsid w:val="00717F17"/>
    <w:rsid w:val="00720160"/>
    <w:rsid w:val="0072127A"/>
    <w:rsid w:val="007217E8"/>
    <w:rsid w:val="0072199B"/>
    <w:rsid w:val="00721BCD"/>
    <w:rsid w:val="00722F75"/>
    <w:rsid w:val="00724123"/>
    <w:rsid w:val="00724741"/>
    <w:rsid w:val="007249D7"/>
    <w:rsid w:val="00724ED9"/>
    <w:rsid w:val="00725063"/>
    <w:rsid w:val="00725399"/>
    <w:rsid w:val="00725627"/>
    <w:rsid w:val="00725F0D"/>
    <w:rsid w:val="00726CCB"/>
    <w:rsid w:val="00726E32"/>
    <w:rsid w:val="00727933"/>
    <w:rsid w:val="00730478"/>
    <w:rsid w:val="00730E3E"/>
    <w:rsid w:val="00734C7E"/>
    <w:rsid w:val="00734E8A"/>
    <w:rsid w:val="00734F82"/>
    <w:rsid w:val="00735628"/>
    <w:rsid w:val="00735984"/>
    <w:rsid w:val="00735A73"/>
    <w:rsid w:val="00736EE0"/>
    <w:rsid w:val="00737299"/>
    <w:rsid w:val="007374E7"/>
    <w:rsid w:val="00737569"/>
    <w:rsid w:val="00737891"/>
    <w:rsid w:val="007378F1"/>
    <w:rsid w:val="00737935"/>
    <w:rsid w:val="00737995"/>
    <w:rsid w:val="00737A03"/>
    <w:rsid w:val="00737B5A"/>
    <w:rsid w:val="00740295"/>
    <w:rsid w:val="007404CA"/>
    <w:rsid w:val="00740675"/>
    <w:rsid w:val="007407E1"/>
    <w:rsid w:val="00741685"/>
    <w:rsid w:val="007416B1"/>
    <w:rsid w:val="00741D9F"/>
    <w:rsid w:val="0074212B"/>
    <w:rsid w:val="0074272E"/>
    <w:rsid w:val="00742FC2"/>
    <w:rsid w:val="00743227"/>
    <w:rsid w:val="007432C1"/>
    <w:rsid w:val="007432E5"/>
    <w:rsid w:val="0074371D"/>
    <w:rsid w:val="00743F96"/>
    <w:rsid w:val="007444D0"/>
    <w:rsid w:val="0074482D"/>
    <w:rsid w:val="0074489A"/>
    <w:rsid w:val="00744CDB"/>
    <w:rsid w:val="00745EE5"/>
    <w:rsid w:val="0074645F"/>
    <w:rsid w:val="007467F8"/>
    <w:rsid w:val="00746814"/>
    <w:rsid w:val="00746E25"/>
    <w:rsid w:val="00747344"/>
    <w:rsid w:val="00747A96"/>
    <w:rsid w:val="00747B1C"/>
    <w:rsid w:val="00747F17"/>
    <w:rsid w:val="007502C6"/>
    <w:rsid w:val="00750821"/>
    <w:rsid w:val="00750989"/>
    <w:rsid w:val="00750FC8"/>
    <w:rsid w:val="007511BA"/>
    <w:rsid w:val="007511C7"/>
    <w:rsid w:val="0075144D"/>
    <w:rsid w:val="0075176F"/>
    <w:rsid w:val="00751EE9"/>
    <w:rsid w:val="007520EC"/>
    <w:rsid w:val="0075236B"/>
    <w:rsid w:val="007525D1"/>
    <w:rsid w:val="0075270B"/>
    <w:rsid w:val="0075388C"/>
    <w:rsid w:val="0075429D"/>
    <w:rsid w:val="007547A5"/>
    <w:rsid w:val="0075508D"/>
    <w:rsid w:val="0075584E"/>
    <w:rsid w:val="00755DC0"/>
    <w:rsid w:val="00755E0C"/>
    <w:rsid w:val="007563C7"/>
    <w:rsid w:val="00757264"/>
    <w:rsid w:val="00757346"/>
    <w:rsid w:val="00757519"/>
    <w:rsid w:val="00757AE7"/>
    <w:rsid w:val="00760B57"/>
    <w:rsid w:val="00761277"/>
    <w:rsid w:val="007614D7"/>
    <w:rsid w:val="00761604"/>
    <w:rsid w:val="00761C71"/>
    <w:rsid w:val="00761E67"/>
    <w:rsid w:val="007625CA"/>
    <w:rsid w:val="00762758"/>
    <w:rsid w:val="007629BC"/>
    <w:rsid w:val="007629E5"/>
    <w:rsid w:val="00762FF0"/>
    <w:rsid w:val="007631A2"/>
    <w:rsid w:val="00763537"/>
    <w:rsid w:val="00763BD9"/>
    <w:rsid w:val="00763DBA"/>
    <w:rsid w:val="007644EC"/>
    <w:rsid w:val="0076548A"/>
    <w:rsid w:val="00765ACA"/>
    <w:rsid w:val="0076613B"/>
    <w:rsid w:val="007662B1"/>
    <w:rsid w:val="007663B6"/>
    <w:rsid w:val="00766CCB"/>
    <w:rsid w:val="00766F2B"/>
    <w:rsid w:val="00767548"/>
    <w:rsid w:val="00767EAE"/>
    <w:rsid w:val="0077106D"/>
    <w:rsid w:val="007710BE"/>
    <w:rsid w:val="007715CB"/>
    <w:rsid w:val="00771611"/>
    <w:rsid w:val="007716C8"/>
    <w:rsid w:val="00771BF1"/>
    <w:rsid w:val="0077200F"/>
    <w:rsid w:val="00772A61"/>
    <w:rsid w:val="0077304B"/>
    <w:rsid w:val="00773616"/>
    <w:rsid w:val="007738DB"/>
    <w:rsid w:val="00773902"/>
    <w:rsid w:val="00773A4F"/>
    <w:rsid w:val="00774466"/>
    <w:rsid w:val="007746A5"/>
    <w:rsid w:val="007752BC"/>
    <w:rsid w:val="007759CF"/>
    <w:rsid w:val="00775A5B"/>
    <w:rsid w:val="00775BC0"/>
    <w:rsid w:val="007766C3"/>
    <w:rsid w:val="0077680A"/>
    <w:rsid w:val="00776DE0"/>
    <w:rsid w:val="0077783F"/>
    <w:rsid w:val="00777A25"/>
    <w:rsid w:val="00780BCC"/>
    <w:rsid w:val="00780DE2"/>
    <w:rsid w:val="0078185B"/>
    <w:rsid w:val="00781A37"/>
    <w:rsid w:val="007824F1"/>
    <w:rsid w:val="00782E5F"/>
    <w:rsid w:val="00783B7D"/>
    <w:rsid w:val="007850B8"/>
    <w:rsid w:val="007862BC"/>
    <w:rsid w:val="00786618"/>
    <w:rsid w:val="0078698B"/>
    <w:rsid w:val="00786A04"/>
    <w:rsid w:val="00786BA0"/>
    <w:rsid w:val="00786E36"/>
    <w:rsid w:val="00787934"/>
    <w:rsid w:val="007902C4"/>
    <w:rsid w:val="00790DBD"/>
    <w:rsid w:val="0079214C"/>
    <w:rsid w:val="00792153"/>
    <w:rsid w:val="00793733"/>
    <w:rsid w:val="007939B3"/>
    <w:rsid w:val="00795658"/>
    <w:rsid w:val="007959EE"/>
    <w:rsid w:val="007966D3"/>
    <w:rsid w:val="00796C91"/>
    <w:rsid w:val="00796D2D"/>
    <w:rsid w:val="00796E12"/>
    <w:rsid w:val="0079728E"/>
    <w:rsid w:val="007974A7"/>
    <w:rsid w:val="007975C0"/>
    <w:rsid w:val="00797634"/>
    <w:rsid w:val="007A0025"/>
    <w:rsid w:val="007A04A9"/>
    <w:rsid w:val="007A1CE4"/>
    <w:rsid w:val="007A22AF"/>
    <w:rsid w:val="007A24A5"/>
    <w:rsid w:val="007A2B0A"/>
    <w:rsid w:val="007A3058"/>
    <w:rsid w:val="007A338A"/>
    <w:rsid w:val="007A360C"/>
    <w:rsid w:val="007A39AE"/>
    <w:rsid w:val="007A3D8C"/>
    <w:rsid w:val="007A3DF5"/>
    <w:rsid w:val="007A40B2"/>
    <w:rsid w:val="007A45E8"/>
    <w:rsid w:val="007A4696"/>
    <w:rsid w:val="007A48FF"/>
    <w:rsid w:val="007A4FB5"/>
    <w:rsid w:val="007A533F"/>
    <w:rsid w:val="007A5736"/>
    <w:rsid w:val="007A5A69"/>
    <w:rsid w:val="007A5D32"/>
    <w:rsid w:val="007A6EF7"/>
    <w:rsid w:val="007A7025"/>
    <w:rsid w:val="007A7AAB"/>
    <w:rsid w:val="007B01E9"/>
    <w:rsid w:val="007B03E6"/>
    <w:rsid w:val="007B0726"/>
    <w:rsid w:val="007B23AB"/>
    <w:rsid w:val="007B2C4C"/>
    <w:rsid w:val="007B3EFA"/>
    <w:rsid w:val="007B4143"/>
    <w:rsid w:val="007B4251"/>
    <w:rsid w:val="007B426D"/>
    <w:rsid w:val="007B4B13"/>
    <w:rsid w:val="007B4B23"/>
    <w:rsid w:val="007B5373"/>
    <w:rsid w:val="007B53C2"/>
    <w:rsid w:val="007B5665"/>
    <w:rsid w:val="007B5A9D"/>
    <w:rsid w:val="007B6679"/>
    <w:rsid w:val="007C0F1C"/>
    <w:rsid w:val="007C10E2"/>
    <w:rsid w:val="007C190E"/>
    <w:rsid w:val="007C298C"/>
    <w:rsid w:val="007C3677"/>
    <w:rsid w:val="007C3765"/>
    <w:rsid w:val="007C4057"/>
    <w:rsid w:val="007C4E93"/>
    <w:rsid w:val="007C4FF8"/>
    <w:rsid w:val="007C52F0"/>
    <w:rsid w:val="007C6B44"/>
    <w:rsid w:val="007C7364"/>
    <w:rsid w:val="007C7942"/>
    <w:rsid w:val="007C7C7E"/>
    <w:rsid w:val="007D0392"/>
    <w:rsid w:val="007D0E01"/>
    <w:rsid w:val="007D158C"/>
    <w:rsid w:val="007D3336"/>
    <w:rsid w:val="007D3530"/>
    <w:rsid w:val="007D4047"/>
    <w:rsid w:val="007D41E7"/>
    <w:rsid w:val="007D4CE1"/>
    <w:rsid w:val="007D4D31"/>
    <w:rsid w:val="007D5FBB"/>
    <w:rsid w:val="007D607C"/>
    <w:rsid w:val="007D659A"/>
    <w:rsid w:val="007D7157"/>
    <w:rsid w:val="007D7C0A"/>
    <w:rsid w:val="007E0853"/>
    <w:rsid w:val="007E0D10"/>
    <w:rsid w:val="007E0EFE"/>
    <w:rsid w:val="007E18F1"/>
    <w:rsid w:val="007E2B7A"/>
    <w:rsid w:val="007E3397"/>
    <w:rsid w:val="007E3966"/>
    <w:rsid w:val="007E50A2"/>
    <w:rsid w:val="007E5290"/>
    <w:rsid w:val="007E5507"/>
    <w:rsid w:val="007E5F58"/>
    <w:rsid w:val="007E6E61"/>
    <w:rsid w:val="007E7316"/>
    <w:rsid w:val="007E7392"/>
    <w:rsid w:val="007E7A3A"/>
    <w:rsid w:val="007E7E9A"/>
    <w:rsid w:val="007E7F6B"/>
    <w:rsid w:val="007F075A"/>
    <w:rsid w:val="007F11D6"/>
    <w:rsid w:val="007F134E"/>
    <w:rsid w:val="007F157D"/>
    <w:rsid w:val="007F1CBA"/>
    <w:rsid w:val="007F1FD4"/>
    <w:rsid w:val="007F2102"/>
    <w:rsid w:val="007F2696"/>
    <w:rsid w:val="007F2D65"/>
    <w:rsid w:val="007F3B3F"/>
    <w:rsid w:val="007F3DB5"/>
    <w:rsid w:val="007F4405"/>
    <w:rsid w:val="007F5999"/>
    <w:rsid w:val="007F6426"/>
    <w:rsid w:val="007F6E81"/>
    <w:rsid w:val="007F783E"/>
    <w:rsid w:val="007F7E7A"/>
    <w:rsid w:val="008000D5"/>
    <w:rsid w:val="00800214"/>
    <w:rsid w:val="00800934"/>
    <w:rsid w:val="00801BD2"/>
    <w:rsid w:val="00802318"/>
    <w:rsid w:val="0080281A"/>
    <w:rsid w:val="00802D1F"/>
    <w:rsid w:val="00803717"/>
    <w:rsid w:val="00803969"/>
    <w:rsid w:val="00806633"/>
    <w:rsid w:val="0080696C"/>
    <w:rsid w:val="00806C35"/>
    <w:rsid w:val="00806C52"/>
    <w:rsid w:val="00806E87"/>
    <w:rsid w:val="0081005A"/>
    <w:rsid w:val="00810AF8"/>
    <w:rsid w:val="00810F93"/>
    <w:rsid w:val="008118E5"/>
    <w:rsid w:val="00812451"/>
    <w:rsid w:val="00812A02"/>
    <w:rsid w:val="00812A5D"/>
    <w:rsid w:val="00813973"/>
    <w:rsid w:val="0081449A"/>
    <w:rsid w:val="00814DA6"/>
    <w:rsid w:val="0081506A"/>
    <w:rsid w:val="00815433"/>
    <w:rsid w:val="008161D8"/>
    <w:rsid w:val="008168A0"/>
    <w:rsid w:val="00816919"/>
    <w:rsid w:val="008169D8"/>
    <w:rsid w:val="00816BFD"/>
    <w:rsid w:val="008208C9"/>
    <w:rsid w:val="00820937"/>
    <w:rsid w:val="00821462"/>
    <w:rsid w:val="008215CF"/>
    <w:rsid w:val="008220AF"/>
    <w:rsid w:val="008226C6"/>
    <w:rsid w:val="008227E8"/>
    <w:rsid w:val="00822A70"/>
    <w:rsid w:val="00822B54"/>
    <w:rsid w:val="008230D9"/>
    <w:rsid w:val="00823286"/>
    <w:rsid w:val="00824093"/>
    <w:rsid w:val="0082411C"/>
    <w:rsid w:val="0082513E"/>
    <w:rsid w:val="00825B8F"/>
    <w:rsid w:val="0082654D"/>
    <w:rsid w:val="0082658D"/>
    <w:rsid w:val="0082694A"/>
    <w:rsid w:val="008274D1"/>
    <w:rsid w:val="008309CF"/>
    <w:rsid w:val="00830E42"/>
    <w:rsid w:val="0083114B"/>
    <w:rsid w:val="008315A1"/>
    <w:rsid w:val="00831736"/>
    <w:rsid w:val="00831A5A"/>
    <w:rsid w:val="00831B7E"/>
    <w:rsid w:val="00831CD8"/>
    <w:rsid w:val="008324C8"/>
    <w:rsid w:val="008335B0"/>
    <w:rsid w:val="00834098"/>
    <w:rsid w:val="0083421D"/>
    <w:rsid w:val="0083443F"/>
    <w:rsid w:val="008345C6"/>
    <w:rsid w:val="008352D7"/>
    <w:rsid w:val="008352E2"/>
    <w:rsid w:val="00835320"/>
    <w:rsid w:val="00835D98"/>
    <w:rsid w:val="00836031"/>
    <w:rsid w:val="008360C6"/>
    <w:rsid w:val="00836711"/>
    <w:rsid w:val="00836946"/>
    <w:rsid w:val="00837133"/>
    <w:rsid w:val="0083743D"/>
    <w:rsid w:val="00837495"/>
    <w:rsid w:val="008374F1"/>
    <w:rsid w:val="008375B2"/>
    <w:rsid w:val="00837B6D"/>
    <w:rsid w:val="0084082B"/>
    <w:rsid w:val="0084088A"/>
    <w:rsid w:val="008408CC"/>
    <w:rsid w:val="00840D4E"/>
    <w:rsid w:val="00840E54"/>
    <w:rsid w:val="00841156"/>
    <w:rsid w:val="00841275"/>
    <w:rsid w:val="00841533"/>
    <w:rsid w:val="00841DC7"/>
    <w:rsid w:val="00841DFE"/>
    <w:rsid w:val="0084206A"/>
    <w:rsid w:val="008426C2"/>
    <w:rsid w:val="00842E42"/>
    <w:rsid w:val="008446BE"/>
    <w:rsid w:val="00844937"/>
    <w:rsid w:val="008458D6"/>
    <w:rsid w:val="00845A93"/>
    <w:rsid w:val="00845C72"/>
    <w:rsid w:val="00845D35"/>
    <w:rsid w:val="00846039"/>
    <w:rsid w:val="00847554"/>
    <w:rsid w:val="00847F95"/>
    <w:rsid w:val="008501FD"/>
    <w:rsid w:val="00850247"/>
    <w:rsid w:val="00850868"/>
    <w:rsid w:val="00850B68"/>
    <w:rsid w:val="0085119F"/>
    <w:rsid w:val="008516BF"/>
    <w:rsid w:val="0085209E"/>
    <w:rsid w:val="008520A9"/>
    <w:rsid w:val="008520E9"/>
    <w:rsid w:val="00852231"/>
    <w:rsid w:val="00852373"/>
    <w:rsid w:val="00852734"/>
    <w:rsid w:val="00852BDC"/>
    <w:rsid w:val="00852CE3"/>
    <w:rsid w:val="008530D5"/>
    <w:rsid w:val="00853C14"/>
    <w:rsid w:val="00853CC5"/>
    <w:rsid w:val="00854C6B"/>
    <w:rsid w:val="008552A9"/>
    <w:rsid w:val="0085595F"/>
    <w:rsid w:val="00855DBD"/>
    <w:rsid w:val="00856C20"/>
    <w:rsid w:val="008571D5"/>
    <w:rsid w:val="008572C8"/>
    <w:rsid w:val="00857320"/>
    <w:rsid w:val="00857867"/>
    <w:rsid w:val="00860BE8"/>
    <w:rsid w:val="00860E09"/>
    <w:rsid w:val="00862316"/>
    <w:rsid w:val="0086231E"/>
    <w:rsid w:val="00862709"/>
    <w:rsid w:val="00862710"/>
    <w:rsid w:val="00863C9D"/>
    <w:rsid w:val="00863CFB"/>
    <w:rsid w:val="0086408F"/>
    <w:rsid w:val="008641B0"/>
    <w:rsid w:val="008646C5"/>
    <w:rsid w:val="0086539D"/>
    <w:rsid w:val="0086592A"/>
    <w:rsid w:val="00866313"/>
    <w:rsid w:val="0086646F"/>
    <w:rsid w:val="00866846"/>
    <w:rsid w:val="00866F7A"/>
    <w:rsid w:val="008705B1"/>
    <w:rsid w:val="00871404"/>
    <w:rsid w:val="00871661"/>
    <w:rsid w:val="00871747"/>
    <w:rsid w:val="00871F9C"/>
    <w:rsid w:val="00872645"/>
    <w:rsid w:val="00872B18"/>
    <w:rsid w:val="00873DF7"/>
    <w:rsid w:val="00874893"/>
    <w:rsid w:val="00876067"/>
    <w:rsid w:val="00876537"/>
    <w:rsid w:val="00876BD8"/>
    <w:rsid w:val="00877220"/>
    <w:rsid w:val="00877BB9"/>
    <w:rsid w:val="00877CB2"/>
    <w:rsid w:val="00877E6E"/>
    <w:rsid w:val="0088016F"/>
    <w:rsid w:val="008810EC"/>
    <w:rsid w:val="0088175D"/>
    <w:rsid w:val="00881A12"/>
    <w:rsid w:val="0088214D"/>
    <w:rsid w:val="008828DC"/>
    <w:rsid w:val="00882EAC"/>
    <w:rsid w:val="00883965"/>
    <w:rsid w:val="00883AA9"/>
    <w:rsid w:val="00883C39"/>
    <w:rsid w:val="00884685"/>
    <w:rsid w:val="00884C2E"/>
    <w:rsid w:val="00884DA4"/>
    <w:rsid w:val="008865F8"/>
    <w:rsid w:val="00886A43"/>
    <w:rsid w:val="00886A5E"/>
    <w:rsid w:val="00886D1F"/>
    <w:rsid w:val="00887630"/>
    <w:rsid w:val="008876AF"/>
    <w:rsid w:val="00887C56"/>
    <w:rsid w:val="00887C82"/>
    <w:rsid w:val="00887C87"/>
    <w:rsid w:val="00890307"/>
    <w:rsid w:val="0089034E"/>
    <w:rsid w:val="008903D5"/>
    <w:rsid w:val="008907A4"/>
    <w:rsid w:val="00891323"/>
    <w:rsid w:val="008916B4"/>
    <w:rsid w:val="0089174B"/>
    <w:rsid w:val="00891893"/>
    <w:rsid w:val="00891B77"/>
    <w:rsid w:val="0089234C"/>
    <w:rsid w:val="00892EB3"/>
    <w:rsid w:val="00892EDC"/>
    <w:rsid w:val="00893B5F"/>
    <w:rsid w:val="008942E0"/>
    <w:rsid w:val="00894BB8"/>
    <w:rsid w:val="0089531B"/>
    <w:rsid w:val="00895689"/>
    <w:rsid w:val="00896CF1"/>
    <w:rsid w:val="00897B95"/>
    <w:rsid w:val="008A0AC3"/>
    <w:rsid w:val="008A1768"/>
    <w:rsid w:val="008A38F4"/>
    <w:rsid w:val="008A46F5"/>
    <w:rsid w:val="008A47EB"/>
    <w:rsid w:val="008A4CD8"/>
    <w:rsid w:val="008A50B1"/>
    <w:rsid w:val="008A5166"/>
    <w:rsid w:val="008A5F92"/>
    <w:rsid w:val="008A6056"/>
    <w:rsid w:val="008A63D5"/>
    <w:rsid w:val="008A6BCA"/>
    <w:rsid w:val="008A6BEB"/>
    <w:rsid w:val="008A6E70"/>
    <w:rsid w:val="008A713C"/>
    <w:rsid w:val="008B096E"/>
    <w:rsid w:val="008B09F0"/>
    <w:rsid w:val="008B1695"/>
    <w:rsid w:val="008B1CC3"/>
    <w:rsid w:val="008B22E8"/>
    <w:rsid w:val="008B271E"/>
    <w:rsid w:val="008B2805"/>
    <w:rsid w:val="008B2F2A"/>
    <w:rsid w:val="008B3025"/>
    <w:rsid w:val="008B336F"/>
    <w:rsid w:val="008B3691"/>
    <w:rsid w:val="008B3850"/>
    <w:rsid w:val="008B4A2D"/>
    <w:rsid w:val="008B4E5E"/>
    <w:rsid w:val="008B651F"/>
    <w:rsid w:val="008B71DF"/>
    <w:rsid w:val="008B7777"/>
    <w:rsid w:val="008B7EE5"/>
    <w:rsid w:val="008C045B"/>
    <w:rsid w:val="008C0669"/>
    <w:rsid w:val="008C33B3"/>
    <w:rsid w:val="008C34B2"/>
    <w:rsid w:val="008C4107"/>
    <w:rsid w:val="008C4BD4"/>
    <w:rsid w:val="008C4E7C"/>
    <w:rsid w:val="008C520B"/>
    <w:rsid w:val="008C522A"/>
    <w:rsid w:val="008C6265"/>
    <w:rsid w:val="008C6628"/>
    <w:rsid w:val="008C673B"/>
    <w:rsid w:val="008C6EDF"/>
    <w:rsid w:val="008C7113"/>
    <w:rsid w:val="008C77BB"/>
    <w:rsid w:val="008C7A09"/>
    <w:rsid w:val="008D04BF"/>
    <w:rsid w:val="008D0530"/>
    <w:rsid w:val="008D0A6A"/>
    <w:rsid w:val="008D0E87"/>
    <w:rsid w:val="008D1061"/>
    <w:rsid w:val="008D1238"/>
    <w:rsid w:val="008D13EB"/>
    <w:rsid w:val="008D1616"/>
    <w:rsid w:val="008D1663"/>
    <w:rsid w:val="008D21D7"/>
    <w:rsid w:val="008D238E"/>
    <w:rsid w:val="008D3227"/>
    <w:rsid w:val="008D35E7"/>
    <w:rsid w:val="008D3A56"/>
    <w:rsid w:val="008D445E"/>
    <w:rsid w:val="008D4C9C"/>
    <w:rsid w:val="008D5BF8"/>
    <w:rsid w:val="008D5C36"/>
    <w:rsid w:val="008D64C2"/>
    <w:rsid w:val="008D68C5"/>
    <w:rsid w:val="008D6A46"/>
    <w:rsid w:val="008D7776"/>
    <w:rsid w:val="008D7F41"/>
    <w:rsid w:val="008E0AD1"/>
    <w:rsid w:val="008E1276"/>
    <w:rsid w:val="008E15C4"/>
    <w:rsid w:val="008E16A8"/>
    <w:rsid w:val="008E17E5"/>
    <w:rsid w:val="008E24D3"/>
    <w:rsid w:val="008E2632"/>
    <w:rsid w:val="008E3139"/>
    <w:rsid w:val="008E31C4"/>
    <w:rsid w:val="008E350B"/>
    <w:rsid w:val="008E35D1"/>
    <w:rsid w:val="008E3878"/>
    <w:rsid w:val="008E38DB"/>
    <w:rsid w:val="008E3BF0"/>
    <w:rsid w:val="008E3C78"/>
    <w:rsid w:val="008E57AF"/>
    <w:rsid w:val="008E5BE6"/>
    <w:rsid w:val="008E5DF4"/>
    <w:rsid w:val="008E602A"/>
    <w:rsid w:val="008E7861"/>
    <w:rsid w:val="008F1070"/>
    <w:rsid w:val="008F1133"/>
    <w:rsid w:val="008F2089"/>
    <w:rsid w:val="008F2D2D"/>
    <w:rsid w:val="008F367E"/>
    <w:rsid w:val="008F3E8A"/>
    <w:rsid w:val="008F5030"/>
    <w:rsid w:val="008F59C0"/>
    <w:rsid w:val="008F632A"/>
    <w:rsid w:val="008F78DB"/>
    <w:rsid w:val="008F7A3B"/>
    <w:rsid w:val="008F7A3C"/>
    <w:rsid w:val="0090055F"/>
    <w:rsid w:val="009012C0"/>
    <w:rsid w:val="009019C2"/>
    <w:rsid w:val="00901F8B"/>
    <w:rsid w:val="00902EB9"/>
    <w:rsid w:val="00902EC1"/>
    <w:rsid w:val="009032E1"/>
    <w:rsid w:val="00904686"/>
    <w:rsid w:val="00904C9F"/>
    <w:rsid w:val="00904CBA"/>
    <w:rsid w:val="0090506A"/>
    <w:rsid w:val="00905161"/>
    <w:rsid w:val="00905E61"/>
    <w:rsid w:val="009060C5"/>
    <w:rsid w:val="009061D6"/>
    <w:rsid w:val="00906617"/>
    <w:rsid w:val="0090661F"/>
    <w:rsid w:val="00907050"/>
    <w:rsid w:val="009070F8"/>
    <w:rsid w:val="00907205"/>
    <w:rsid w:val="00907948"/>
    <w:rsid w:val="00907D8A"/>
    <w:rsid w:val="00910FBC"/>
    <w:rsid w:val="00911479"/>
    <w:rsid w:val="00911895"/>
    <w:rsid w:val="009119FA"/>
    <w:rsid w:val="00912273"/>
    <w:rsid w:val="009122E8"/>
    <w:rsid w:val="00912535"/>
    <w:rsid w:val="00913699"/>
    <w:rsid w:val="0091370D"/>
    <w:rsid w:val="00913D64"/>
    <w:rsid w:val="009142CA"/>
    <w:rsid w:val="0091494B"/>
    <w:rsid w:val="00914C8A"/>
    <w:rsid w:val="0091520C"/>
    <w:rsid w:val="009155FB"/>
    <w:rsid w:val="00915EDF"/>
    <w:rsid w:val="0091717A"/>
    <w:rsid w:val="00917BB2"/>
    <w:rsid w:val="009201B5"/>
    <w:rsid w:val="009217A0"/>
    <w:rsid w:val="009217AA"/>
    <w:rsid w:val="00921C58"/>
    <w:rsid w:val="0092269D"/>
    <w:rsid w:val="009233D7"/>
    <w:rsid w:val="009236D8"/>
    <w:rsid w:val="00923D7B"/>
    <w:rsid w:val="00924C61"/>
    <w:rsid w:val="00926A67"/>
    <w:rsid w:val="00926C46"/>
    <w:rsid w:val="0092759B"/>
    <w:rsid w:val="00927CCB"/>
    <w:rsid w:val="00930DAD"/>
    <w:rsid w:val="00930F28"/>
    <w:rsid w:val="009312AE"/>
    <w:rsid w:val="009317E5"/>
    <w:rsid w:val="00931BC1"/>
    <w:rsid w:val="00932012"/>
    <w:rsid w:val="009323CD"/>
    <w:rsid w:val="0093299D"/>
    <w:rsid w:val="00932E0F"/>
    <w:rsid w:val="00932FA4"/>
    <w:rsid w:val="00933000"/>
    <w:rsid w:val="0093385B"/>
    <w:rsid w:val="00933AF6"/>
    <w:rsid w:val="0093405B"/>
    <w:rsid w:val="0093458D"/>
    <w:rsid w:val="009346DC"/>
    <w:rsid w:val="009349E4"/>
    <w:rsid w:val="00934BDC"/>
    <w:rsid w:val="00934BE8"/>
    <w:rsid w:val="0093502D"/>
    <w:rsid w:val="0093518C"/>
    <w:rsid w:val="00935962"/>
    <w:rsid w:val="00935A6A"/>
    <w:rsid w:val="00936400"/>
    <w:rsid w:val="009373AF"/>
    <w:rsid w:val="009379BD"/>
    <w:rsid w:val="00937B9B"/>
    <w:rsid w:val="00937CFB"/>
    <w:rsid w:val="00937D33"/>
    <w:rsid w:val="009409D7"/>
    <w:rsid w:val="00940BB1"/>
    <w:rsid w:val="00941C4C"/>
    <w:rsid w:val="00942C1F"/>
    <w:rsid w:val="00943685"/>
    <w:rsid w:val="00943DCE"/>
    <w:rsid w:val="00943E61"/>
    <w:rsid w:val="0094421F"/>
    <w:rsid w:val="00944AF2"/>
    <w:rsid w:val="00944D9E"/>
    <w:rsid w:val="00944EA6"/>
    <w:rsid w:val="009453BC"/>
    <w:rsid w:val="00945E0D"/>
    <w:rsid w:val="009466F3"/>
    <w:rsid w:val="00946A76"/>
    <w:rsid w:val="009473F6"/>
    <w:rsid w:val="00947D41"/>
    <w:rsid w:val="00947FA2"/>
    <w:rsid w:val="0095006F"/>
    <w:rsid w:val="00950D67"/>
    <w:rsid w:val="00951A6A"/>
    <w:rsid w:val="00951F70"/>
    <w:rsid w:val="009520E8"/>
    <w:rsid w:val="00952BD7"/>
    <w:rsid w:val="00953A85"/>
    <w:rsid w:val="00953D36"/>
    <w:rsid w:val="00954757"/>
    <w:rsid w:val="00954FE0"/>
    <w:rsid w:val="009554C0"/>
    <w:rsid w:val="00956F0B"/>
    <w:rsid w:val="0096021D"/>
    <w:rsid w:val="009607AE"/>
    <w:rsid w:val="00960A09"/>
    <w:rsid w:val="0096133A"/>
    <w:rsid w:val="0096201B"/>
    <w:rsid w:val="00962550"/>
    <w:rsid w:val="00962A6C"/>
    <w:rsid w:val="00963212"/>
    <w:rsid w:val="0096385B"/>
    <w:rsid w:val="0096424F"/>
    <w:rsid w:val="009652F6"/>
    <w:rsid w:val="00965439"/>
    <w:rsid w:val="00965443"/>
    <w:rsid w:val="00966DC9"/>
    <w:rsid w:val="00967338"/>
    <w:rsid w:val="009702A4"/>
    <w:rsid w:val="009702AC"/>
    <w:rsid w:val="009702BB"/>
    <w:rsid w:val="009704C9"/>
    <w:rsid w:val="0097079E"/>
    <w:rsid w:val="00970811"/>
    <w:rsid w:val="00970CA8"/>
    <w:rsid w:val="009718B9"/>
    <w:rsid w:val="00972840"/>
    <w:rsid w:val="009728AE"/>
    <w:rsid w:val="00972C5D"/>
    <w:rsid w:val="00972F1B"/>
    <w:rsid w:val="00974281"/>
    <w:rsid w:val="009744AF"/>
    <w:rsid w:val="00974938"/>
    <w:rsid w:val="00974B4B"/>
    <w:rsid w:val="00974C0D"/>
    <w:rsid w:val="009761CF"/>
    <w:rsid w:val="00976589"/>
    <w:rsid w:val="00976A96"/>
    <w:rsid w:val="00976DAD"/>
    <w:rsid w:val="00980175"/>
    <w:rsid w:val="00980E68"/>
    <w:rsid w:val="0098102B"/>
    <w:rsid w:val="009813CA"/>
    <w:rsid w:val="00981481"/>
    <w:rsid w:val="00981D37"/>
    <w:rsid w:val="0098257D"/>
    <w:rsid w:val="00982F5A"/>
    <w:rsid w:val="0098387E"/>
    <w:rsid w:val="00983BE6"/>
    <w:rsid w:val="009848D0"/>
    <w:rsid w:val="00984C06"/>
    <w:rsid w:val="00985B2B"/>
    <w:rsid w:val="00985E6D"/>
    <w:rsid w:val="00985EE1"/>
    <w:rsid w:val="0098639D"/>
    <w:rsid w:val="0098643A"/>
    <w:rsid w:val="0098693D"/>
    <w:rsid w:val="009870D5"/>
    <w:rsid w:val="00990040"/>
    <w:rsid w:val="00990BBE"/>
    <w:rsid w:val="00990E3A"/>
    <w:rsid w:val="009910C4"/>
    <w:rsid w:val="00991502"/>
    <w:rsid w:val="009917F8"/>
    <w:rsid w:val="00991E15"/>
    <w:rsid w:val="00991FE0"/>
    <w:rsid w:val="009929FA"/>
    <w:rsid w:val="00992A26"/>
    <w:rsid w:val="00992B04"/>
    <w:rsid w:val="00992DE7"/>
    <w:rsid w:val="00992EA9"/>
    <w:rsid w:val="009932EA"/>
    <w:rsid w:val="009939DA"/>
    <w:rsid w:val="00994BD0"/>
    <w:rsid w:val="009951B3"/>
    <w:rsid w:val="009956AB"/>
    <w:rsid w:val="00995B60"/>
    <w:rsid w:val="00996802"/>
    <w:rsid w:val="00996CFB"/>
    <w:rsid w:val="00996DA7"/>
    <w:rsid w:val="00997873"/>
    <w:rsid w:val="009A0215"/>
    <w:rsid w:val="009A0A06"/>
    <w:rsid w:val="009A0F99"/>
    <w:rsid w:val="009A17B7"/>
    <w:rsid w:val="009A22EE"/>
    <w:rsid w:val="009A2664"/>
    <w:rsid w:val="009A2DC6"/>
    <w:rsid w:val="009A2F5D"/>
    <w:rsid w:val="009A34DC"/>
    <w:rsid w:val="009A3988"/>
    <w:rsid w:val="009A39AF"/>
    <w:rsid w:val="009A3B2E"/>
    <w:rsid w:val="009A3CB1"/>
    <w:rsid w:val="009A412F"/>
    <w:rsid w:val="009A44A5"/>
    <w:rsid w:val="009A45F8"/>
    <w:rsid w:val="009A48EF"/>
    <w:rsid w:val="009A4996"/>
    <w:rsid w:val="009A5447"/>
    <w:rsid w:val="009A5DFF"/>
    <w:rsid w:val="009A69DE"/>
    <w:rsid w:val="009A7820"/>
    <w:rsid w:val="009A78A2"/>
    <w:rsid w:val="009A7F25"/>
    <w:rsid w:val="009B04F3"/>
    <w:rsid w:val="009B10B8"/>
    <w:rsid w:val="009B113D"/>
    <w:rsid w:val="009B1479"/>
    <w:rsid w:val="009B15F8"/>
    <w:rsid w:val="009B185F"/>
    <w:rsid w:val="009B19ED"/>
    <w:rsid w:val="009B1D0C"/>
    <w:rsid w:val="009B2718"/>
    <w:rsid w:val="009B3C96"/>
    <w:rsid w:val="009B3D62"/>
    <w:rsid w:val="009B416B"/>
    <w:rsid w:val="009B4366"/>
    <w:rsid w:val="009B45C9"/>
    <w:rsid w:val="009B5108"/>
    <w:rsid w:val="009B54FD"/>
    <w:rsid w:val="009B5822"/>
    <w:rsid w:val="009B7299"/>
    <w:rsid w:val="009C02AF"/>
    <w:rsid w:val="009C0833"/>
    <w:rsid w:val="009C086B"/>
    <w:rsid w:val="009C155F"/>
    <w:rsid w:val="009C1E7A"/>
    <w:rsid w:val="009C1F18"/>
    <w:rsid w:val="009C1F45"/>
    <w:rsid w:val="009C1FE4"/>
    <w:rsid w:val="009C2EC5"/>
    <w:rsid w:val="009C327E"/>
    <w:rsid w:val="009C37E9"/>
    <w:rsid w:val="009C4146"/>
    <w:rsid w:val="009C48E9"/>
    <w:rsid w:val="009C4C96"/>
    <w:rsid w:val="009C511A"/>
    <w:rsid w:val="009C5237"/>
    <w:rsid w:val="009C5E4E"/>
    <w:rsid w:val="009C61CB"/>
    <w:rsid w:val="009C7356"/>
    <w:rsid w:val="009D0045"/>
    <w:rsid w:val="009D05F3"/>
    <w:rsid w:val="009D0906"/>
    <w:rsid w:val="009D0C41"/>
    <w:rsid w:val="009D1077"/>
    <w:rsid w:val="009D13FC"/>
    <w:rsid w:val="009D17E6"/>
    <w:rsid w:val="009D2160"/>
    <w:rsid w:val="009D3703"/>
    <w:rsid w:val="009D44CD"/>
    <w:rsid w:val="009D57C5"/>
    <w:rsid w:val="009D5E7C"/>
    <w:rsid w:val="009D62EB"/>
    <w:rsid w:val="009D63B6"/>
    <w:rsid w:val="009D6481"/>
    <w:rsid w:val="009D6B0B"/>
    <w:rsid w:val="009D73B4"/>
    <w:rsid w:val="009D780C"/>
    <w:rsid w:val="009D7C85"/>
    <w:rsid w:val="009E01FB"/>
    <w:rsid w:val="009E06BA"/>
    <w:rsid w:val="009E0FFA"/>
    <w:rsid w:val="009E105C"/>
    <w:rsid w:val="009E1254"/>
    <w:rsid w:val="009E14FA"/>
    <w:rsid w:val="009E1A3E"/>
    <w:rsid w:val="009E2AD0"/>
    <w:rsid w:val="009E3504"/>
    <w:rsid w:val="009E3CC2"/>
    <w:rsid w:val="009E3DD3"/>
    <w:rsid w:val="009E41BA"/>
    <w:rsid w:val="009E46AD"/>
    <w:rsid w:val="009E5EE5"/>
    <w:rsid w:val="009E6A1C"/>
    <w:rsid w:val="009E7102"/>
    <w:rsid w:val="009F0382"/>
    <w:rsid w:val="009F182B"/>
    <w:rsid w:val="009F1CFB"/>
    <w:rsid w:val="009F2CED"/>
    <w:rsid w:val="009F2F16"/>
    <w:rsid w:val="009F3A8F"/>
    <w:rsid w:val="009F3B77"/>
    <w:rsid w:val="009F43C3"/>
    <w:rsid w:val="009F4622"/>
    <w:rsid w:val="009F4657"/>
    <w:rsid w:val="009F4D74"/>
    <w:rsid w:val="009F5C14"/>
    <w:rsid w:val="009F62E5"/>
    <w:rsid w:val="009F6356"/>
    <w:rsid w:val="009F6864"/>
    <w:rsid w:val="009F7804"/>
    <w:rsid w:val="00A0006F"/>
    <w:rsid w:val="00A00087"/>
    <w:rsid w:val="00A001BB"/>
    <w:rsid w:val="00A00D33"/>
    <w:rsid w:val="00A00EC1"/>
    <w:rsid w:val="00A011D6"/>
    <w:rsid w:val="00A01484"/>
    <w:rsid w:val="00A0169C"/>
    <w:rsid w:val="00A01D9B"/>
    <w:rsid w:val="00A01DF9"/>
    <w:rsid w:val="00A02604"/>
    <w:rsid w:val="00A02630"/>
    <w:rsid w:val="00A02B76"/>
    <w:rsid w:val="00A03C2A"/>
    <w:rsid w:val="00A0424B"/>
    <w:rsid w:val="00A05D4D"/>
    <w:rsid w:val="00A05EEE"/>
    <w:rsid w:val="00A06595"/>
    <w:rsid w:val="00A06EFB"/>
    <w:rsid w:val="00A072CE"/>
    <w:rsid w:val="00A1008B"/>
    <w:rsid w:val="00A10B22"/>
    <w:rsid w:val="00A11185"/>
    <w:rsid w:val="00A1136A"/>
    <w:rsid w:val="00A11421"/>
    <w:rsid w:val="00A11F79"/>
    <w:rsid w:val="00A12062"/>
    <w:rsid w:val="00A121B5"/>
    <w:rsid w:val="00A1353A"/>
    <w:rsid w:val="00A14236"/>
    <w:rsid w:val="00A14B00"/>
    <w:rsid w:val="00A1586F"/>
    <w:rsid w:val="00A160CD"/>
    <w:rsid w:val="00A17830"/>
    <w:rsid w:val="00A17DD1"/>
    <w:rsid w:val="00A204CE"/>
    <w:rsid w:val="00A2071D"/>
    <w:rsid w:val="00A2074F"/>
    <w:rsid w:val="00A209C6"/>
    <w:rsid w:val="00A22263"/>
    <w:rsid w:val="00A224C5"/>
    <w:rsid w:val="00A22550"/>
    <w:rsid w:val="00A226C5"/>
    <w:rsid w:val="00A22878"/>
    <w:rsid w:val="00A23015"/>
    <w:rsid w:val="00A2356C"/>
    <w:rsid w:val="00A23900"/>
    <w:rsid w:val="00A242CB"/>
    <w:rsid w:val="00A2443C"/>
    <w:rsid w:val="00A24D21"/>
    <w:rsid w:val="00A24DF9"/>
    <w:rsid w:val="00A25DD1"/>
    <w:rsid w:val="00A265BA"/>
    <w:rsid w:val="00A26B0C"/>
    <w:rsid w:val="00A26B59"/>
    <w:rsid w:val="00A26C41"/>
    <w:rsid w:val="00A274E4"/>
    <w:rsid w:val="00A2756C"/>
    <w:rsid w:val="00A2799D"/>
    <w:rsid w:val="00A27FDD"/>
    <w:rsid w:val="00A303F9"/>
    <w:rsid w:val="00A30402"/>
    <w:rsid w:val="00A30417"/>
    <w:rsid w:val="00A308FC"/>
    <w:rsid w:val="00A314FD"/>
    <w:rsid w:val="00A3201F"/>
    <w:rsid w:val="00A32C40"/>
    <w:rsid w:val="00A32DC9"/>
    <w:rsid w:val="00A32F67"/>
    <w:rsid w:val="00A3303C"/>
    <w:rsid w:val="00A33177"/>
    <w:rsid w:val="00A33455"/>
    <w:rsid w:val="00A3494C"/>
    <w:rsid w:val="00A354A5"/>
    <w:rsid w:val="00A359B3"/>
    <w:rsid w:val="00A35A08"/>
    <w:rsid w:val="00A36759"/>
    <w:rsid w:val="00A36E4D"/>
    <w:rsid w:val="00A37FA6"/>
    <w:rsid w:val="00A415B8"/>
    <w:rsid w:val="00A41AFB"/>
    <w:rsid w:val="00A41B18"/>
    <w:rsid w:val="00A43510"/>
    <w:rsid w:val="00A43853"/>
    <w:rsid w:val="00A43B8C"/>
    <w:rsid w:val="00A43F4F"/>
    <w:rsid w:val="00A449EA"/>
    <w:rsid w:val="00A451A0"/>
    <w:rsid w:val="00A453C9"/>
    <w:rsid w:val="00A45FDB"/>
    <w:rsid w:val="00A46F4F"/>
    <w:rsid w:val="00A47544"/>
    <w:rsid w:val="00A47C05"/>
    <w:rsid w:val="00A47CFD"/>
    <w:rsid w:val="00A50D3D"/>
    <w:rsid w:val="00A514D4"/>
    <w:rsid w:val="00A51FB1"/>
    <w:rsid w:val="00A54534"/>
    <w:rsid w:val="00A54896"/>
    <w:rsid w:val="00A54A1C"/>
    <w:rsid w:val="00A55B8C"/>
    <w:rsid w:val="00A56A8A"/>
    <w:rsid w:val="00A56E67"/>
    <w:rsid w:val="00A56F14"/>
    <w:rsid w:val="00A57EB3"/>
    <w:rsid w:val="00A57F3E"/>
    <w:rsid w:val="00A60139"/>
    <w:rsid w:val="00A6014A"/>
    <w:rsid w:val="00A602B8"/>
    <w:rsid w:val="00A609ED"/>
    <w:rsid w:val="00A61532"/>
    <w:rsid w:val="00A61561"/>
    <w:rsid w:val="00A61F96"/>
    <w:rsid w:val="00A6225E"/>
    <w:rsid w:val="00A62AA5"/>
    <w:rsid w:val="00A6352F"/>
    <w:rsid w:val="00A636CB"/>
    <w:rsid w:val="00A6543E"/>
    <w:rsid w:val="00A666E4"/>
    <w:rsid w:val="00A66842"/>
    <w:rsid w:val="00A668DD"/>
    <w:rsid w:val="00A66AC5"/>
    <w:rsid w:val="00A66D77"/>
    <w:rsid w:val="00A678F8"/>
    <w:rsid w:val="00A67C27"/>
    <w:rsid w:val="00A714C6"/>
    <w:rsid w:val="00A71E18"/>
    <w:rsid w:val="00A7200F"/>
    <w:rsid w:val="00A720EC"/>
    <w:rsid w:val="00A72218"/>
    <w:rsid w:val="00A7272D"/>
    <w:rsid w:val="00A7369E"/>
    <w:rsid w:val="00A73930"/>
    <w:rsid w:val="00A73E17"/>
    <w:rsid w:val="00A75581"/>
    <w:rsid w:val="00A757B8"/>
    <w:rsid w:val="00A7602B"/>
    <w:rsid w:val="00A7656F"/>
    <w:rsid w:val="00A76648"/>
    <w:rsid w:val="00A76A5F"/>
    <w:rsid w:val="00A76B3D"/>
    <w:rsid w:val="00A777A3"/>
    <w:rsid w:val="00A77EE6"/>
    <w:rsid w:val="00A80F78"/>
    <w:rsid w:val="00A81263"/>
    <w:rsid w:val="00A81E8D"/>
    <w:rsid w:val="00A8209A"/>
    <w:rsid w:val="00A8218B"/>
    <w:rsid w:val="00A8281F"/>
    <w:rsid w:val="00A829BA"/>
    <w:rsid w:val="00A82AEE"/>
    <w:rsid w:val="00A82B36"/>
    <w:rsid w:val="00A83ACA"/>
    <w:rsid w:val="00A840B3"/>
    <w:rsid w:val="00A84ED2"/>
    <w:rsid w:val="00A85716"/>
    <w:rsid w:val="00A858C4"/>
    <w:rsid w:val="00A859FF"/>
    <w:rsid w:val="00A86C09"/>
    <w:rsid w:val="00A87553"/>
    <w:rsid w:val="00A87C56"/>
    <w:rsid w:val="00A87DED"/>
    <w:rsid w:val="00A9187B"/>
    <w:rsid w:val="00A918C4"/>
    <w:rsid w:val="00A91AAB"/>
    <w:rsid w:val="00A91ABC"/>
    <w:rsid w:val="00A91BA4"/>
    <w:rsid w:val="00A93608"/>
    <w:rsid w:val="00A93B30"/>
    <w:rsid w:val="00A93C27"/>
    <w:rsid w:val="00A944EA"/>
    <w:rsid w:val="00A946E7"/>
    <w:rsid w:val="00A94CE6"/>
    <w:rsid w:val="00A95589"/>
    <w:rsid w:val="00A95BBF"/>
    <w:rsid w:val="00A95C43"/>
    <w:rsid w:val="00A95E31"/>
    <w:rsid w:val="00A966CF"/>
    <w:rsid w:val="00A97081"/>
    <w:rsid w:val="00A97FB2"/>
    <w:rsid w:val="00AA0BAF"/>
    <w:rsid w:val="00AA0F99"/>
    <w:rsid w:val="00AA16E5"/>
    <w:rsid w:val="00AA19BA"/>
    <w:rsid w:val="00AA1F4D"/>
    <w:rsid w:val="00AA2083"/>
    <w:rsid w:val="00AA29B4"/>
    <w:rsid w:val="00AA2F28"/>
    <w:rsid w:val="00AA321A"/>
    <w:rsid w:val="00AA32CC"/>
    <w:rsid w:val="00AA3C2E"/>
    <w:rsid w:val="00AA5101"/>
    <w:rsid w:val="00AA54B7"/>
    <w:rsid w:val="00AA56BC"/>
    <w:rsid w:val="00AA5E8F"/>
    <w:rsid w:val="00AA642D"/>
    <w:rsid w:val="00AA7610"/>
    <w:rsid w:val="00AB0368"/>
    <w:rsid w:val="00AB0EAF"/>
    <w:rsid w:val="00AB109D"/>
    <w:rsid w:val="00AB2125"/>
    <w:rsid w:val="00AB23E2"/>
    <w:rsid w:val="00AB26F4"/>
    <w:rsid w:val="00AB2B3D"/>
    <w:rsid w:val="00AB2E04"/>
    <w:rsid w:val="00AB3348"/>
    <w:rsid w:val="00AB34C6"/>
    <w:rsid w:val="00AB432B"/>
    <w:rsid w:val="00AB50A6"/>
    <w:rsid w:val="00AB61B8"/>
    <w:rsid w:val="00AB6978"/>
    <w:rsid w:val="00AB6BC8"/>
    <w:rsid w:val="00AB753C"/>
    <w:rsid w:val="00AC01F7"/>
    <w:rsid w:val="00AC058C"/>
    <w:rsid w:val="00AC079C"/>
    <w:rsid w:val="00AC12D3"/>
    <w:rsid w:val="00AC14EF"/>
    <w:rsid w:val="00AC1BD5"/>
    <w:rsid w:val="00AC1F33"/>
    <w:rsid w:val="00AC2556"/>
    <w:rsid w:val="00AC28D6"/>
    <w:rsid w:val="00AC2B51"/>
    <w:rsid w:val="00AC3439"/>
    <w:rsid w:val="00AC39A4"/>
    <w:rsid w:val="00AC3F6A"/>
    <w:rsid w:val="00AC4715"/>
    <w:rsid w:val="00AC49F7"/>
    <w:rsid w:val="00AC5202"/>
    <w:rsid w:val="00AC55C7"/>
    <w:rsid w:val="00AC5D8C"/>
    <w:rsid w:val="00AC5E0C"/>
    <w:rsid w:val="00AC61F9"/>
    <w:rsid w:val="00AD06CD"/>
    <w:rsid w:val="00AD12F5"/>
    <w:rsid w:val="00AD1D46"/>
    <w:rsid w:val="00AD22AE"/>
    <w:rsid w:val="00AD2CC2"/>
    <w:rsid w:val="00AD36E7"/>
    <w:rsid w:val="00AD376C"/>
    <w:rsid w:val="00AD3B0C"/>
    <w:rsid w:val="00AD447B"/>
    <w:rsid w:val="00AD4B47"/>
    <w:rsid w:val="00AD5356"/>
    <w:rsid w:val="00AD55C4"/>
    <w:rsid w:val="00AD67B4"/>
    <w:rsid w:val="00AD695B"/>
    <w:rsid w:val="00AD7834"/>
    <w:rsid w:val="00AD7B0B"/>
    <w:rsid w:val="00AD7E3A"/>
    <w:rsid w:val="00AE013F"/>
    <w:rsid w:val="00AE0BA9"/>
    <w:rsid w:val="00AE2742"/>
    <w:rsid w:val="00AE3978"/>
    <w:rsid w:val="00AE3C48"/>
    <w:rsid w:val="00AE47A0"/>
    <w:rsid w:val="00AE54D0"/>
    <w:rsid w:val="00AE5948"/>
    <w:rsid w:val="00AE5E5D"/>
    <w:rsid w:val="00AE69E7"/>
    <w:rsid w:val="00AE706D"/>
    <w:rsid w:val="00AF041E"/>
    <w:rsid w:val="00AF1C28"/>
    <w:rsid w:val="00AF2161"/>
    <w:rsid w:val="00AF2572"/>
    <w:rsid w:val="00AF2FDA"/>
    <w:rsid w:val="00AF32CA"/>
    <w:rsid w:val="00AF3CC8"/>
    <w:rsid w:val="00AF46D4"/>
    <w:rsid w:val="00AF474B"/>
    <w:rsid w:val="00AF51CD"/>
    <w:rsid w:val="00AF5932"/>
    <w:rsid w:val="00AF5A9F"/>
    <w:rsid w:val="00AF5BDD"/>
    <w:rsid w:val="00AF5EF9"/>
    <w:rsid w:val="00AF792C"/>
    <w:rsid w:val="00AF7A40"/>
    <w:rsid w:val="00B00210"/>
    <w:rsid w:val="00B002E0"/>
    <w:rsid w:val="00B00B13"/>
    <w:rsid w:val="00B01020"/>
    <w:rsid w:val="00B010C3"/>
    <w:rsid w:val="00B01497"/>
    <w:rsid w:val="00B01DD6"/>
    <w:rsid w:val="00B025EB"/>
    <w:rsid w:val="00B02A95"/>
    <w:rsid w:val="00B02B51"/>
    <w:rsid w:val="00B02E2C"/>
    <w:rsid w:val="00B03789"/>
    <w:rsid w:val="00B03F4A"/>
    <w:rsid w:val="00B04029"/>
    <w:rsid w:val="00B044B4"/>
    <w:rsid w:val="00B05328"/>
    <w:rsid w:val="00B058E6"/>
    <w:rsid w:val="00B05B3A"/>
    <w:rsid w:val="00B06115"/>
    <w:rsid w:val="00B07C31"/>
    <w:rsid w:val="00B1058C"/>
    <w:rsid w:val="00B118A2"/>
    <w:rsid w:val="00B11B2D"/>
    <w:rsid w:val="00B12FB0"/>
    <w:rsid w:val="00B13F84"/>
    <w:rsid w:val="00B14247"/>
    <w:rsid w:val="00B170D8"/>
    <w:rsid w:val="00B20778"/>
    <w:rsid w:val="00B20983"/>
    <w:rsid w:val="00B21144"/>
    <w:rsid w:val="00B212EB"/>
    <w:rsid w:val="00B2299B"/>
    <w:rsid w:val="00B234D0"/>
    <w:rsid w:val="00B23CD7"/>
    <w:rsid w:val="00B23D69"/>
    <w:rsid w:val="00B2401C"/>
    <w:rsid w:val="00B24959"/>
    <w:rsid w:val="00B2521D"/>
    <w:rsid w:val="00B266CD"/>
    <w:rsid w:val="00B268AC"/>
    <w:rsid w:val="00B26FDE"/>
    <w:rsid w:val="00B278BD"/>
    <w:rsid w:val="00B278DF"/>
    <w:rsid w:val="00B279D3"/>
    <w:rsid w:val="00B30299"/>
    <w:rsid w:val="00B30B03"/>
    <w:rsid w:val="00B31969"/>
    <w:rsid w:val="00B31F13"/>
    <w:rsid w:val="00B32C64"/>
    <w:rsid w:val="00B33308"/>
    <w:rsid w:val="00B33548"/>
    <w:rsid w:val="00B336AE"/>
    <w:rsid w:val="00B336DE"/>
    <w:rsid w:val="00B33894"/>
    <w:rsid w:val="00B348AD"/>
    <w:rsid w:val="00B3544A"/>
    <w:rsid w:val="00B35E21"/>
    <w:rsid w:val="00B36E71"/>
    <w:rsid w:val="00B3736B"/>
    <w:rsid w:val="00B37E82"/>
    <w:rsid w:val="00B40911"/>
    <w:rsid w:val="00B40A3B"/>
    <w:rsid w:val="00B40E3F"/>
    <w:rsid w:val="00B41189"/>
    <w:rsid w:val="00B411C4"/>
    <w:rsid w:val="00B41707"/>
    <w:rsid w:val="00B4183B"/>
    <w:rsid w:val="00B41C64"/>
    <w:rsid w:val="00B41F59"/>
    <w:rsid w:val="00B44782"/>
    <w:rsid w:val="00B449D1"/>
    <w:rsid w:val="00B45A1D"/>
    <w:rsid w:val="00B46017"/>
    <w:rsid w:val="00B4629A"/>
    <w:rsid w:val="00B463C7"/>
    <w:rsid w:val="00B465FA"/>
    <w:rsid w:val="00B4680A"/>
    <w:rsid w:val="00B46F0F"/>
    <w:rsid w:val="00B478A3"/>
    <w:rsid w:val="00B47C3C"/>
    <w:rsid w:val="00B47C68"/>
    <w:rsid w:val="00B50032"/>
    <w:rsid w:val="00B501D2"/>
    <w:rsid w:val="00B503A7"/>
    <w:rsid w:val="00B520A1"/>
    <w:rsid w:val="00B52533"/>
    <w:rsid w:val="00B5260D"/>
    <w:rsid w:val="00B52839"/>
    <w:rsid w:val="00B52C86"/>
    <w:rsid w:val="00B53042"/>
    <w:rsid w:val="00B53121"/>
    <w:rsid w:val="00B53386"/>
    <w:rsid w:val="00B53B9B"/>
    <w:rsid w:val="00B53D7E"/>
    <w:rsid w:val="00B53E64"/>
    <w:rsid w:val="00B5431E"/>
    <w:rsid w:val="00B55575"/>
    <w:rsid w:val="00B55961"/>
    <w:rsid w:val="00B56116"/>
    <w:rsid w:val="00B56225"/>
    <w:rsid w:val="00B56A89"/>
    <w:rsid w:val="00B56F66"/>
    <w:rsid w:val="00B57C42"/>
    <w:rsid w:val="00B57CBD"/>
    <w:rsid w:val="00B617B6"/>
    <w:rsid w:val="00B61F23"/>
    <w:rsid w:val="00B62707"/>
    <w:rsid w:val="00B62A23"/>
    <w:rsid w:val="00B635F1"/>
    <w:rsid w:val="00B641A3"/>
    <w:rsid w:val="00B650DF"/>
    <w:rsid w:val="00B65A86"/>
    <w:rsid w:val="00B66DCD"/>
    <w:rsid w:val="00B6728F"/>
    <w:rsid w:val="00B67BA1"/>
    <w:rsid w:val="00B70415"/>
    <w:rsid w:val="00B705A1"/>
    <w:rsid w:val="00B70815"/>
    <w:rsid w:val="00B71B72"/>
    <w:rsid w:val="00B729B6"/>
    <w:rsid w:val="00B72ACF"/>
    <w:rsid w:val="00B72FB7"/>
    <w:rsid w:val="00B73247"/>
    <w:rsid w:val="00B7347D"/>
    <w:rsid w:val="00B738F0"/>
    <w:rsid w:val="00B73A0C"/>
    <w:rsid w:val="00B74AD7"/>
    <w:rsid w:val="00B74B60"/>
    <w:rsid w:val="00B74D7B"/>
    <w:rsid w:val="00B74E96"/>
    <w:rsid w:val="00B754EB"/>
    <w:rsid w:val="00B75815"/>
    <w:rsid w:val="00B75D71"/>
    <w:rsid w:val="00B763F9"/>
    <w:rsid w:val="00B76D4E"/>
    <w:rsid w:val="00B7730B"/>
    <w:rsid w:val="00B774F0"/>
    <w:rsid w:val="00B77C87"/>
    <w:rsid w:val="00B80DBD"/>
    <w:rsid w:val="00B815B9"/>
    <w:rsid w:val="00B81AE8"/>
    <w:rsid w:val="00B81B78"/>
    <w:rsid w:val="00B81E1C"/>
    <w:rsid w:val="00B82073"/>
    <w:rsid w:val="00B8235B"/>
    <w:rsid w:val="00B82BFF"/>
    <w:rsid w:val="00B832A8"/>
    <w:rsid w:val="00B833CB"/>
    <w:rsid w:val="00B83E82"/>
    <w:rsid w:val="00B83F86"/>
    <w:rsid w:val="00B8420E"/>
    <w:rsid w:val="00B84DDB"/>
    <w:rsid w:val="00B84F05"/>
    <w:rsid w:val="00B850AF"/>
    <w:rsid w:val="00B8531D"/>
    <w:rsid w:val="00B85A44"/>
    <w:rsid w:val="00B867CA"/>
    <w:rsid w:val="00B86F0D"/>
    <w:rsid w:val="00B87233"/>
    <w:rsid w:val="00B8762A"/>
    <w:rsid w:val="00B87AC7"/>
    <w:rsid w:val="00B87B62"/>
    <w:rsid w:val="00B91EB1"/>
    <w:rsid w:val="00B92586"/>
    <w:rsid w:val="00B9329E"/>
    <w:rsid w:val="00B934AC"/>
    <w:rsid w:val="00B939DF"/>
    <w:rsid w:val="00B93B80"/>
    <w:rsid w:val="00B945F5"/>
    <w:rsid w:val="00B946AE"/>
    <w:rsid w:val="00B951EF"/>
    <w:rsid w:val="00B95271"/>
    <w:rsid w:val="00B960FE"/>
    <w:rsid w:val="00B96249"/>
    <w:rsid w:val="00B96BF3"/>
    <w:rsid w:val="00B972C1"/>
    <w:rsid w:val="00B97C34"/>
    <w:rsid w:val="00BA03B3"/>
    <w:rsid w:val="00BA06C3"/>
    <w:rsid w:val="00BA1146"/>
    <w:rsid w:val="00BA11B4"/>
    <w:rsid w:val="00BA1581"/>
    <w:rsid w:val="00BA1997"/>
    <w:rsid w:val="00BA1C68"/>
    <w:rsid w:val="00BA2315"/>
    <w:rsid w:val="00BA249A"/>
    <w:rsid w:val="00BA2F57"/>
    <w:rsid w:val="00BA3D3F"/>
    <w:rsid w:val="00BA3F71"/>
    <w:rsid w:val="00BA4375"/>
    <w:rsid w:val="00BA44DD"/>
    <w:rsid w:val="00BA47CD"/>
    <w:rsid w:val="00BA47D9"/>
    <w:rsid w:val="00BA6B6C"/>
    <w:rsid w:val="00BA7518"/>
    <w:rsid w:val="00BA7527"/>
    <w:rsid w:val="00BA75B6"/>
    <w:rsid w:val="00BA7DB0"/>
    <w:rsid w:val="00BA7F30"/>
    <w:rsid w:val="00BA7FE4"/>
    <w:rsid w:val="00BB0064"/>
    <w:rsid w:val="00BB0ABC"/>
    <w:rsid w:val="00BB0D9B"/>
    <w:rsid w:val="00BB0D9E"/>
    <w:rsid w:val="00BB1B78"/>
    <w:rsid w:val="00BB1BD4"/>
    <w:rsid w:val="00BB1C7A"/>
    <w:rsid w:val="00BB3797"/>
    <w:rsid w:val="00BB39F8"/>
    <w:rsid w:val="00BB3E7C"/>
    <w:rsid w:val="00BB432A"/>
    <w:rsid w:val="00BB46F7"/>
    <w:rsid w:val="00BB4B0F"/>
    <w:rsid w:val="00BB54B3"/>
    <w:rsid w:val="00BB684A"/>
    <w:rsid w:val="00BB68AE"/>
    <w:rsid w:val="00BB70E7"/>
    <w:rsid w:val="00BC0D15"/>
    <w:rsid w:val="00BC15C1"/>
    <w:rsid w:val="00BC16E1"/>
    <w:rsid w:val="00BC1A17"/>
    <w:rsid w:val="00BC23D2"/>
    <w:rsid w:val="00BC2A15"/>
    <w:rsid w:val="00BC2CC7"/>
    <w:rsid w:val="00BC3225"/>
    <w:rsid w:val="00BC3786"/>
    <w:rsid w:val="00BC38FA"/>
    <w:rsid w:val="00BC4704"/>
    <w:rsid w:val="00BC4987"/>
    <w:rsid w:val="00BC56DA"/>
    <w:rsid w:val="00BC5BE3"/>
    <w:rsid w:val="00BC653B"/>
    <w:rsid w:val="00BC6A1A"/>
    <w:rsid w:val="00BC72E5"/>
    <w:rsid w:val="00BC79B9"/>
    <w:rsid w:val="00BD10D6"/>
    <w:rsid w:val="00BD1AD5"/>
    <w:rsid w:val="00BD26EE"/>
    <w:rsid w:val="00BD2894"/>
    <w:rsid w:val="00BD2CDA"/>
    <w:rsid w:val="00BD3601"/>
    <w:rsid w:val="00BD36E9"/>
    <w:rsid w:val="00BD393A"/>
    <w:rsid w:val="00BD3F38"/>
    <w:rsid w:val="00BD436F"/>
    <w:rsid w:val="00BD4695"/>
    <w:rsid w:val="00BD5499"/>
    <w:rsid w:val="00BD5515"/>
    <w:rsid w:val="00BD5738"/>
    <w:rsid w:val="00BD59AE"/>
    <w:rsid w:val="00BD78C3"/>
    <w:rsid w:val="00BD7A4E"/>
    <w:rsid w:val="00BE0099"/>
    <w:rsid w:val="00BE036B"/>
    <w:rsid w:val="00BE0D0F"/>
    <w:rsid w:val="00BE18A3"/>
    <w:rsid w:val="00BE1BC5"/>
    <w:rsid w:val="00BE2205"/>
    <w:rsid w:val="00BE273C"/>
    <w:rsid w:val="00BE2FA1"/>
    <w:rsid w:val="00BE3CC2"/>
    <w:rsid w:val="00BE4343"/>
    <w:rsid w:val="00BE51BA"/>
    <w:rsid w:val="00BE6828"/>
    <w:rsid w:val="00BE687C"/>
    <w:rsid w:val="00BE6CB6"/>
    <w:rsid w:val="00BE7A1F"/>
    <w:rsid w:val="00BE7CC3"/>
    <w:rsid w:val="00BF0907"/>
    <w:rsid w:val="00BF130B"/>
    <w:rsid w:val="00BF1E29"/>
    <w:rsid w:val="00BF2B0D"/>
    <w:rsid w:val="00BF3007"/>
    <w:rsid w:val="00BF3A26"/>
    <w:rsid w:val="00BF3A2C"/>
    <w:rsid w:val="00BF3B2D"/>
    <w:rsid w:val="00BF3F81"/>
    <w:rsid w:val="00BF41E7"/>
    <w:rsid w:val="00BF421C"/>
    <w:rsid w:val="00BF472C"/>
    <w:rsid w:val="00BF5066"/>
    <w:rsid w:val="00BF522C"/>
    <w:rsid w:val="00BF5248"/>
    <w:rsid w:val="00BF5B63"/>
    <w:rsid w:val="00BF6038"/>
    <w:rsid w:val="00BF65C2"/>
    <w:rsid w:val="00BF6CD2"/>
    <w:rsid w:val="00BF7181"/>
    <w:rsid w:val="00BF7893"/>
    <w:rsid w:val="00C0022C"/>
    <w:rsid w:val="00C01C84"/>
    <w:rsid w:val="00C020A4"/>
    <w:rsid w:val="00C020B0"/>
    <w:rsid w:val="00C0224F"/>
    <w:rsid w:val="00C023A3"/>
    <w:rsid w:val="00C02FFB"/>
    <w:rsid w:val="00C0378E"/>
    <w:rsid w:val="00C03FC2"/>
    <w:rsid w:val="00C05487"/>
    <w:rsid w:val="00C06070"/>
    <w:rsid w:val="00C07057"/>
    <w:rsid w:val="00C0725A"/>
    <w:rsid w:val="00C075F1"/>
    <w:rsid w:val="00C07997"/>
    <w:rsid w:val="00C07D18"/>
    <w:rsid w:val="00C07FEF"/>
    <w:rsid w:val="00C103E9"/>
    <w:rsid w:val="00C10613"/>
    <w:rsid w:val="00C108D0"/>
    <w:rsid w:val="00C1170B"/>
    <w:rsid w:val="00C11BF9"/>
    <w:rsid w:val="00C11EB2"/>
    <w:rsid w:val="00C12F16"/>
    <w:rsid w:val="00C12FCE"/>
    <w:rsid w:val="00C13927"/>
    <w:rsid w:val="00C1426A"/>
    <w:rsid w:val="00C14684"/>
    <w:rsid w:val="00C14AA5"/>
    <w:rsid w:val="00C15B1C"/>
    <w:rsid w:val="00C15C05"/>
    <w:rsid w:val="00C16AF4"/>
    <w:rsid w:val="00C16CF1"/>
    <w:rsid w:val="00C16F85"/>
    <w:rsid w:val="00C17A57"/>
    <w:rsid w:val="00C17CBF"/>
    <w:rsid w:val="00C17F2E"/>
    <w:rsid w:val="00C207E5"/>
    <w:rsid w:val="00C20AF5"/>
    <w:rsid w:val="00C2140E"/>
    <w:rsid w:val="00C216C8"/>
    <w:rsid w:val="00C21E3B"/>
    <w:rsid w:val="00C22936"/>
    <w:rsid w:val="00C22EEA"/>
    <w:rsid w:val="00C23010"/>
    <w:rsid w:val="00C23544"/>
    <w:rsid w:val="00C238BE"/>
    <w:rsid w:val="00C23A6D"/>
    <w:rsid w:val="00C23B8A"/>
    <w:rsid w:val="00C23F29"/>
    <w:rsid w:val="00C2419E"/>
    <w:rsid w:val="00C24761"/>
    <w:rsid w:val="00C24FBA"/>
    <w:rsid w:val="00C2541C"/>
    <w:rsid w:val="00C26060"/>
    <w:rsid w:val="00C2609E"/>
    <w:rsid w:val="00C26EA9"/>
    <w:rsid w:val="00C273BC"/>
    <w:rsid w:val="00C3051B"/>
    <w:rsid w:val="00C31E7C"/>
    <w:rsid w:val="00C31E8A"/>
    <w:rsid w:val="00C32655"/>
    <w:rsid w:val="00C3266A"/>
    <w:rsid w:val="00C32D9C"/>
    <w:rsid w:val="00C33339"/>
    <w:rsid w:val="00C335FD"/>
    <w:rsid w:val="00C338C8"/>
    <w:rsid w:val="00C33C70"/>
    <w:rsid w:val="00C344AE"/>
    <w:rsid w:val="00C344BA"/>
    <w:rsid w:val="00C34E0B"/>
    <w:rsid w:val="00C35AEA"/>
    <w:rsid w:val="00C35E30"/>
    <w:rsid w:val="00C3716C"/>
    <w:rsid w:val="00C377A2"/>
    <w:rsid w:val="00C4016E"/>
    <w:rsid w:val="00C401F8"/>
    <w:rsid w:val="00C40A4E"/>
    <w:rsid w:val="00C4145F"/>
    <w:rsid w:val="00C4156F"/>
    <w:rsid w:val="00C41771"/>
    <w:rsid w:val="00C4198F"/>
    <w:rsid w:val="00C42EEC"/>
    <w:rsid w:val="00C441F9"/>
    <w:rsid w:val="00C445C8"/>
    <w:rsid w:val="00C447F1"/>
    <w:rsid w:val="00C44DE8"/>
    <w:rsid w:val="00C44EA0"/>
    <w:rsid w:val="00C4558A"/>
    <w:rsid w:val="00C4595C"/>
    <w:rsid w:val="00C45E7B"/>
    <w:rsid w:val="00C47A02"/>
    <w:rsid w:val="00C507C3"/>
    <w:rsid w:val="00C5092A"/>
    <w:rsid w:val="00C50EEC"/>
    <w:rsid w:val="00C5129A"/>
    <w:rsid w:val="00C514FB"/>
    <w:rsid w:val="00C51B51"/>
    <w:rsid w:val="00C521F7"/>
    <w:rsid w:val="00C5229B"/>
    <w:rsid w:val="00C52E3C"/>
    <w:rsid w:val="00C531A1"/>
    <w:rsid w:val="00C531BE"/>
    <w:rsid w:val="00C53484"/>
    <w:rsid w:val="00C536B3"/>
    <w:rsid w:val="00C53F64"/>
    <w:rsid w:val="00C54066"/>
    <w:rsid w:val="00C5468C"/>
    <w:rsid w:val="00C54906"/>
    <w:rsid w:val="00C54C37"/>
    <w:rsid w:val="00C55B11"/>
    <w:rsid w:val="00C55EDF"/>
    <w:rsid w:val="00C56D6C"/>
    <w:rsid w:val="00C56DCF"/>
    <w:rsid w:val="00C56E4A"/>
    <w:rsid w:val="00C56F2E"/>
    <w:rsid w:val="00C574A4"/>
    <w:rsid w:val="00C57A6E"/>
    <w:rsid w:val="00C57CB5"/>
    <w:rsid w:val="00C57EC6"/>
    <w:rsid w:val="00C60659"/>
    <w:rsid w:val="00C609BE"/>
    <w:rsid w:val="00C60B4B"/>
    <w:rsid w:val="00C60BD6"/>
    <w:rsid w:val="00C612EF"/>
    <w:rsid w:val="00C61BA0"/>
    <w:rsid w:val="00C623DF"/>
    <w:rsid w:val="00C623F5"/>
    <w:rsid w:val="00C62A12"/>
    <w:rsid w:val="00C6386D"/>
    <w:rsid w:val="00C63D1E"/>
    <w:rsid w:val="00C64001"/>
    <w:rsid w:val="00C645A1"/>
    <w:rsid w:val="00C6491B"/>
    <w:rsid w:val="00C64FF9"/>
    <w:rsid w:val="00C65054"/>
    <w:rsid w:val="00C65C61"/>
    <w:rsid w:val="00C66E59"/>
    <w:rsid w:val="00C70EEB"/>
    <w:rsid w:val="00C712FF"/>
    <w:rsid w:val="00C71439"/>
    <w:rsid w:val="00C71571"/>
    <w:rsid w:val="00C71695"/>
    <w:rsid w:val="00C71A2E"/>
    <w:rsid w:val="00C71D2A"/>
    <w:rsid w:val="00C72DF1"/>
    <w:rsid w:val="00C731C9"/>
    <w:rsid w:val="00C73299"/>
    <w:rsid w:val="00C73332"/>
    <w:rsid w:val="00C734F3"/>
    <w:rsid w:val="00C73A41"/>
    <w:rsid w:val="00C73CD2"/>
    <w:rsid w:val="00C73E04"/>
    <w:rsid w:val="00C740E9"/>
    <w:rsid w:val="00C745FD"/>
    <w:rsid w:val="00C74A99"/>
    <w:rsid w:val="00C74CF7"/>
    <w:rsid w:val="00C74E35"/>
    <w:rsid w:val="00C759F2"/>
    <w:rsid w:val="00C75B15"/>
    <w:rsid w:val="00C75FB3"/>
    <w:rsid w:val="00C76010"/>
    <w:rsid w:val="00C765C8"/>
    <w:rsid w:val="00C767C3"/>
    <w:rsid w:val="00C77025"/>
    <w:rsid w:val="00C77589"/>
    <w:rsid w:val="00C77BE1"/>
    <w:rsid w:val="00C803EE"/>
    <w:rsid w:val="00C80866"/>
    <w:rsid w:val="00C80DC5"/>
    <w:rsid w:val="00C81843"/>
    <w:rsid w:val="00C81C49"/>
    <w:rsid w:val="00C82432"/>
    <w:rsid w:val="00C83953"/>
    <w:rsid w:val="00C84FF9"/>
    <w:rsid w:val="00C85A9B"/>
    <w:rsid w:val="00C85E7C"/>
    <w:rsid w:val="00C85E86"/>
    <w:rsid w:val="00C85EBD"/>
    <w:rsid w:val="00C86871"/>
    <w:rsid w:val="00C8750F"/>
    <w:rsid w:val="00C87601"/>
    <w:rsid w:val="00C87853"/>
    <w:rsid w:val="00C8792C"/>
    <w:rsid w:val="00C87BEA"/>
    <w:rsid w:val="00C90FFF"/>
    <w:rsid w:val="00C9125F"/>
    <w:rsid w:val="00C91436"/>
    <w:rsid w:val="00C91A8C"/>
    <w:rsid w:val="00C92087"/>
    <w:rsid w:val="00C922D6"/>
    <w:rsid w:val="00C924F7"/>
    <w:rsid w:val="00C93547"/>
    <w:rsid w:val="00C93D9F"/>
    <w:rsid w:val="00C93E47"/>
    <w:rsid w:val="00C94780"/>
    <w:rsid w:val="00C94C4B"/>
    <w:rsid w:val="00C9535D"/>
    <w:rsid w:val="00C95991"/>
    <w:rsid w:val="00C95EB6"/>
    <w:rsid w:val="00C96337"/>
    <w:rsid w:val="00C96385"/>
    <w:rsid w:val="00C96A70"/>
    <w:rsid w:val="00C96C03"/>
    <w:rsid w:val="00C9717C"/>
    <w:rsid w:val="00C972C3"/>
    <w:rsid w:val="00C97329"/>
    <w:rsid w:val="00CA026F"/>
    <w:rsid w:val="00CA0333"/>
    <w:rsid w:val="00CA0E70"/>
    <w:rsid w:val="00CA0E7D"/>
    <w:rsid w:val="00CA27E4"/>
    <w:rsid w:val="00CA3137"/>
    <w:rsid w:val="00CA3547"/>
    <w:rsid w:val="00CA3AE0"/>
    <w:rsid w:val="00CA3D7E"/>
    <w:rsid w:val="00CA453E"/>
    <w:rsid w:val="00CA4BBF"/>
    <w:rsid w:val="00CA4CFE"/>
    <w:rsid w:val="00CA4D43"/>
    <w:rsid w:val="00CA5D9D"/>
    <w:rsid w:val="00CA62B7"/>
    <w:rsid w:val="00CA75D0"/>
    <w:rsid w:val="00CA7E26"/>
    <w:rsid w:val="00CB16B0"/>
    <w:rsid w:val="00CB1EE3"/>
    <w:rsid w:val="00CB1F72"/>
    <w:rsid w:val="00CB2E84"/>
    <w:rsid w:val="00CB3343"/>
    <w:rsid w:val="00CB3E51"/>
    <w:rsid w:val="00CB4064"/>
    <w:rsid w:val="00CB49F5"/>
    <w:rsid w:val="00CB4A35"/>
    <w:rsid w:val="00CB4BFB"/>
    <w:rsid w:val="00CB5291"/>
    <w:rsid w:val="00CB58FC"/>
    <w:rsid w:val="00CB60E8"/>
    <w:rsid w:val="00CB6589"/>
    <w:rsid w:val="00CB6C81"/>
    <w:rsid w:val="00CB74CF"/>
    <w:rsid w:val="00CB75B8"/>
    <w:rsid w:val="00CB7AF6"/>
    <w:rsid w:val="00CB7F8C"/>
    <w:rsid w:val="00CB7FAD"/>
    <w:rsid w:val="00CC0175"/>
    <w:rsid w:val="00CC02F8"/>
    <w:rsid w:val="00CC0427"/>
    <w:rsid w:val="00CC0820"/>
    <w:rsid w:val="00CC0E86"/>
    <w:rsid w:val="00CC0F84"/>
    <w:rsid w:val="00CC17ED"/>
    <w:rsid w:val="00CC196E"/>
    <w:rsid w:val="00CC247E"/>
    <w:rsid w:val="00CC257C"/>
    <w:rsid w:val="00CC3A38"/>
    <w:rsid w:val="00CC3AC8"/>
    <w:rsid w:val="00CC40A2"/>
    <w:rsid w:val="00CC40C2"/>
    <w:rsid w:val="00CC429D"/>
    <w:rsid w:val="00CC52DD"/>
    <w:rsid w:val="00CC5485"/>
    <w:rsid w:val="00CC55AE"/>
    <w:rsid w:val="00CC5CAA"/>
    <w:rsid w:val="00CC6991"/>
    <w:rsid w:val="00CC6BE9"/>
    <w:rsid w:val="00CD031B"/>
    <w:rsid w:val="00CD0EED"/>
    <w:rsid w:val="00CD10F2"/>
    <w:rsid w:val="00CD15AC"/>
    <w:rsid w:val="00CD1A44"/>
    <w:rsid w:val="00CD1E53"/>
    <w:rsid w:val="00CD268B"/>
    <w:rsid w:val="00CD2916"/>
    <w:rsid w:val="00CD3CA3"/>
    <w:rsid w:val="00CD46F0"/>
    <w:rsid w:val="00CD55B9"/>
    <w:rsid w:val="00CD67D9"/>
    <w:rsid w:val="00CD7192"/>
    <w:rsid w:val="00CE1396"/>
    <w:rsid w:val="00CE13D0"/>
    <w:rsid w:val="00CE313F"/>
    <w:rsid w:val="00CE37DA"/>
    <w:rsid w:val="00CE3856"/>
    <w:rsid w:val="00CE3B0E"/>
    <w:rsid w:val="00CE41B9"/>
    <w:rsid w:val="00CE4457"/>
    <w:rsid w:val="00CE4B1F"/>
    <w:rsid w:val="00CE4F59"/>
    <w:rsid w:val="00CE6AF6"/>
    <w:rsid w:val="00CE6E5E"/>
    <w:rsid w:val="00CE7BC2"/>
    <w:rsid w:val="00CF0587"/>
    <w:rsid w:val="00CF06C6"/>
    <w:rsid w:val="00CF0A5D"/>
    <w:rsid w:val="00CF0C8F"/>
    <w:rsid w:val="00CF0CBD"/>
    <w:rsid w:val="00CF1397"/>
    <w:rsid w:val="00CF1849"/>
    <w:rsid w:val="00CF198F"/>
    <w:rsid w:val="00CF1D70"/>
    <w:rsid w:val="00CF1E58"/>
    <w:rsid w:val="00CF2FE0"/>
    <w:rsid w:val="00CF3509"/>
    <w:rsid w:val="00CF3690"/>
    <w:rsid w:val="00CF3F8B"/>
    <w:rsid w:val="00CF41E3"/>
    <w:rsid w:val="00CF4214"/>
    <w:rsid w:val="00CF45F6"/>
    <w:rsid w:val="00CF498A"/>
    <w:rsid w:val="00CF4A29"/>
    <w:rsid w:val="00CF78E5"/>
    <w:rsid w:val="00D00654"/>
    <w:rsid w:val="00D006C2"/>
    <w:rsid w:val="00D00E15"/>
    <w:rsid w:val="00D02AD2"/>
    <w:rsid w:val="00D04974"/>
    <w:rsid w:val="00D04BCE"/>
    <w:rsid w:val="00D04EF9"/>
    <w:rsid w:val="00D058A9"/>
    <w:rsid w:val="00D060DF"/>
    <w:rsid w:val="00D06148"/>
    <w:rsid w:val="00D061AA"/>
    <w:rsid w:val="00D06301"/>
    <w:rsid w:val="00D0666C"/>
    <w:rsid w:val="00D06837"/>
    <w:rsid w:val="00D06B8C"/>
    <w:rsid w:val="00D06E05"/>
    <w:rsid w:val="00D07074"/>
    <w:rsid w:val="00D07E87"/>
    <w:rsid w:val="00D109F1"/>
    <w:rsid w:val="00D10B19"/>
    <w:rsid w:val="00D11435"/>
    <w:rsid w:val="00D116AB"/>
    <w:rsid w:val="00D119AF"/>
    <w:rsid w:val="00D1206D"/>
    <w:rsid w:val="00D1266B"/>
    <w:rsid w:val="00D129C0"/>
    <w:rsid w:val="00D13DAF"/>
    <w:rsid w:val="00D13DC6"/>
    <w:rsid w:val="00D1414E"/>
    <w:rsid w:val="00D14237"/>
    <w:rsid w:val="00D14365"/>
    <w:rsid w:val="00D14E28"/>
    <w:rsid w:val="00D153CD"/>
    <w:rsid w:val="00D155A0"/>
    <w:rsid w:val="00D15C14"/>
    <w:rsid w:val="00D1605D"/>
    <w:rsid w:val="00D1625F"/>
    <w:rsid w:val="00D16492"/>
    <w:rsid w:val="00D16D0B"/>
    <w:rsid w:val="00D16E45"/>
    <w:rsid w:val="00D20036"/>
    <w:rsid w:val="00D200CB"/>
    <w:rsid w:val="00D2018A"/>
    <w:rsid w:val="00D204D2"/>
    <w:rsid w:val="00D20CB1"/>
    <w:rsid w:val="00D20D5B"/>
    <w:rsid w:val="00D20E21"/>
    <w:rsid w:val="00D2100B"/>
    <w:rsid w:val="00D2113C"/>
    <w:rsid w:val="00D22494"/>
    <w:rsid w:val="00D236EF"/>
    <w:rsid w:val="00D238B1"/>
    <w:rsid w:val="00D23E18"/>
    <w:rsid w:val="00D243C2"/>
    <w:rsid w:val="00D27174"/>
    <w:rsid w:val="00D2756A"/>
    <w:rsid w:val="00D27A71"/>
    <w:rsid w:val="00D30058"/>
    <w:rsid w:val="00D30083"/>
    <w:rsid w:val="00D30702"/>
    <w:rsid w:val="00D307DD"/>
    <w:rsid w:val="00D30A07"/>
    <w:rsid w:val="00D30F46"/>
    <w:rsid w:val="00D30F55"/>
    <w:rsid w:val="00D31343"/>
    <w:rsid w:val="00D326FB"/>
    <w:rsid w:val="00D3274C"/>
    <w:rsid w:val="00D32E8C"/>
    <w:rsid w:val="00D32FB7"/>
    <w:rsid w:val="00D3366D"/>
    <w:rsid w:val="00D33755"/>
    <w:rsid w:val="00D33824"/>
    <w:rsid w:val="00D33EF4"/>
    <w:rsid w:val="00D33EFC"/>
    <w:rsid w:val="00D34268"/>
    <w:rsid w:val="00D347CE"/>
    <w:rsid w:val="00D35608"/>
    <w:rsid w:val="00D358B2"/>
    <w:rsid w:val="00D367DC"/>
    <w:rsid w:val="00D3687E"/>
    <w:rsid w:val="00D3689C"/>
    <w:rsid w:val="00D36B81"/>
    <w:rsid w:val="00D36D89"/>
    <w:rsid w:val="00D36E94"/>
    <w:rsid w:val="00D37EB4"/>
    <w:rsid w:val="00D4088F"/>
    <w:rsid w:val="00D41F80"/>
    <w:rsid w:val="00D4318B"/>
    <w:rsid w:val="00D43442"/>
    <w:rsid w:val="00D4395B"/>
    <w:rsid w:val="00D452C4"/>
    <w:rsid w:val="00D45A22"/>
    <w:rsid w:val="00D463EB"/>
    <w:rsid w:val="00D46DB4"/>
    <w:rsid w:val="00D4700E"/>
    <w:rsid w:val="00D47525"/>
    <w:rsid w:val="00D476FC"/>
    <w:rsid w:val="00D47774"/>
    <w:rsid w:val="00D47F16"/>
    <w:rsid w:val="00D502EC"/>
    <w:rsid w:val="00D503DB"/>
    <w:rsid w:val="00D50678"/>
    <w:rsid w:val="00D50F1D"/>
    <w:rsid w:val="00D5111D"/>
    <w:rsid w:val="00D521CF"/>
    <w:rsid w:val="00D5258E"/>
    <w:rsid w:val="00D52C2E"/>
    <w:rsid w:val="00D53894"/>
    <w:rsid w:val="00D53AD4"/>
    <w:rsid w:val="00D53BC6"/>
    <w:rsid w:val="00D548CD"/>
    <w:rsid w:val="00D54B8E"/>
    <w:rsid w:val="00D55E83"/>
    <w:rsid w:val="00D562A9"/>
    <w:rsid w:val="00D57C46"/>
    <w:rsid w:val="00D57E5A"/>
    <w:rsid w:val="00D6018D"/>
    <w:rsid w:val="00D601C6"/>
    <w:rsid w:val="00D6101A"/>
    <w:rsid w:val="00D61048"/>
    <w:rsid w:val="00D61681"/>
    <w:rsid w:val="00D6270B"/>
    <w:rsid w:val="00D63588"/>
    <w:rsid w:val="00D63816"/>
    <w:rsid w:val="00D63B15"/>
    <w:rsid w:val="00D640D8"/>
    <w:rsid w:val="00D640E6"/>
    <w:rsid w:val="00D654D2"/>
    <w:rsid w:val="00D65B20"/>
    <w:rsid w:val="00D65C9E"/>
    <w:rsid w:val="00D65D47"/>
    <w:rsid w:val="00D65F01"/>
    <w:rsid w:val="00D66054"/>
    <w:rsid w:val="00D66F8A"/>
    <w:rsid w:val="00D67457"/>
    <w:rsid w:val="00D6786A"/>
    <w:rsid w:val="00D67DA1"/>
    <w:rsid w:val="00D701FA"/>
    <w:rsid w:val="00D703C0"/>
    <w:rsid w:val="00D70E91"/>
    <w:rsid w:val="00D70F50"/>
    <w:rsid w:val="00D7182B"/>
    <w:rsid w:val="00D71BDE"/>
    <w:rsid w:val="00D71C36"/>
    <w:rsid w:val="00D721B0"/>
    <w:rsid w:val="00D73649"/>
    <w:rsid w:val="00D737E2"/>
    <w:rsid w:val="00D73B5E"/>
    <w:rsid w:val="00D74FD8"/>
    <w:rsid w:val="00D751A5"/>
    <w:rsid w:val="00D76B1B"/>
    <w:rsid w:val="00D76F31"/>
    <w:rsid w:val="00D77136"/>
    <w:rsid w:val="00D7739B"/>
    <w:rsid w:val="00D800F7"/>
    <w:rsid w:val="00D813E8"/>
    <w:rsid w:val="00D81922"/>
    <w:rsid w:val="00D8214C"/>
    <w:rsid w:val="00D821EE"/>
    <w:rsid w:val="00D82FB8"/>
    <w:rsid w:val="00D835D2"/>
    <w:rsid w:val="00D83C2E"/>
    <w:rsid w:val="00D83CE8"/>
    <w:rsid w:val="00D84928"/>
    <w:rsid w:val="00D84EA6"/>
    <w:rsid w:val="00D855D2"/>
    <w:rsid w:val="00D85D39"/>
    <w:rsid w:val="00D85FAB"/>
    <w:rsid w:val="00D86E6A"/>
    <w:rsid w:val="00D86FAC"/>
    <w:rsid w:val="00D873CB"/>
    <w:rsid w:val="00D87CCC"/>
    <w:rsid w:val="00D87D56"/>
    <w:rsid w:val="00D908DF"/>
    <w:rsid w:val="00D91C03"/>
    <w:rsid w:val="00D91FC9"/>
    <w:rsid w:val="00D92110"/>
    <w:rsid w:val="00D9227F"/>
    <w:rsid w:val="00D9309D"/>
    <w:rsid w:val="00D93C81"/>
    <w:rsid w:val="00D94560"/>
    <w:rsid w:val="00D94E0F"/>
    <w:rsid w:val="00D95484"/>
    <w:rsid w:val="00D95D99"/>
    <w:rsid w:val="00D95E16"/>
    <w:rsid w:val="00D960DB"/>
    <w:rsid w:val="00D961BF"/>
    <w:rsid w:val="00D973E3"/>
    <w:rsid w:val="00D9767E"/>
    <w:rsid w:val="00D97D1B"/>
    <w:rsid w:val="00DA048A"/>
    <w:rsid w:val="00DA0B72"/>
    <w:rsid w:val="00DA211D"/>
    <w:rsid w:val="00DA24EA"/>
    <w:rsid w:val="00DA2A49"/>
    <w:rsid w:val="00DA2F79"/>
    <w:rsid w:val="00DA332E"/>
    <w:rsid w:val="00DA4EF1"/>
    <w:rsid w:val="00DA5A9D"/>
    <w:rsid w:val="00DA6B7E"/>
    <w:rsid w:val="00DA71DA"/>
    <w:rsid w:val="00DA76F8"/>
    <w:rsid w:val="00DB0F39"/>
    <w:rsid w:val="00DB1AEE"/>
    <w:rsid w:val="00DB1BDD"/>
    <w:rsid w:val="00DB2493"/>
    <w:rsid w:val="00DB4682"/>
    <w:rsid w:val="00DB58EA"/>
    <w:rsid w:val="00DB61EF"/>
    <w:rsid w:val="00DB6408"/>
    <w:rsid w:val="00DB6548"/>
    <w:rsid w:val="00DB6B9D"/>
    <w:rsid w:val="00DB6CC5"/>
    <w:rsid w:val="00DB6FA0"/>
    <w:rsid w:val="00DB722F"/>
    <w:rsid w:val="00DB7680"/>
    <w:rsid w:val="00DB7A71"/>
    <w:rsid w:val="00DC0064"/>
    <w:rsid w:val="00DC04D7"/>
    <w:rsid w:val="00DC07B4"/>
    <w:rsid w:val="00DC0A2B"/>
    <w:rsid w:val="00DC25B8"/>
    <w:rsid w:val="00DC285C"/>
    <w:rsid w:val="00DC2871"/>
    <w:rsid w:val="00DC2C18"/>
    <w:rsid w:val="00DC3578"/>
    <w:rsid w:val="00DC3868"/>
    <w:rsid w:val="00DC4115"/>
    <w:rsid w:val="00DC5CB9"/>
    <w:rsid w:val="00DC685F"/>
    <w:rsid w:val="00DC69C4"/>
    <w:rsid w:val="00DC6C34"/>
    <w:rsid w:val="00DC7F54"/>
    <w:rsid w:val="00DD02C6"/>
    <w:rsid w:val="00DD0656"/>
    <w:rsid w:val="00DD0A9B"/>
    <w:rsid w:val="00DD0B95"/>
    <w:rsid w:val="00DD160B"/>
    <w:rsid w:val="00DD17A4"/>
    <w:rsid w:val="00DD282A"/>
    <w:rsid w:val="00DD2931"/>
    <w:rsid w:val="00DD3626"/>
    <w:rsid w:val="00DD4532"/>
    <w:rsid w:val="00DD475A"/>
    <w:rsid w:val="00DD4A5C"/>
    <w:rsid w:val="00DD542F"/>
    <w:rsid w:val="00DD5455"/>
    <w:rsid w:val="00DD561D"/>
    <w:rsid w:val="00DD6605"/>
    <w:rsid w:val="00DD698F"/>
    <w:rsid w:val="00DD6E67"/>
    <w:rsid w:val="00DD74AE"/>
    <w:rsid w:val="00DD755B"/>
    <w:rsid w:val="00DD757A"/>
    <w:rsid w:val="00DE0022"/>
    <w:rsid w:val="00DE010B"/>
    <w:rsid w:val="00DE051D"/>
    <w:rsid w:val="00DE113F"/>
    <w:rsid w:val="00DE19B5"/>
    <w:rsid w:val="00DE2079"/>
    <w:rsid w:val="00DE269F"/>
    <w:rsid w:val="00DE2752"/>
    <w:rsid w:val="00DE2763"/>
    <w:rsid w:val="00DE2F2D"/>
    <w:rsid w:val="00DE3581"/>
    <w:rsid w:val="00DE39A9"/>
    <w:rsid w:val="00DE45CF"/>
    <w:rsid w:val="00DE4734"/>
    <w:rsid w:val="00DE4F3B"/>
    <w:rsid w:val="00DE5034"/>
    <w:rsid w:val="00DE5A55"/>
    <w:rsid w:val="00DE6E8E"/>
    <w:rsid w:val="00DE713F"/>
    <w:rsid w:val="00DF0278"/>
    <w:rsid w:val="00DF101C"/>
    <w:rsid w:val="00DF16E9"/>
    <w:rsid w:val="00DF2AEA"/>
    <w:rsid w:val="00DF2D22"/>
    <w:rsid w:val="00DF2E74"/>
    <w:rsid w:val="00DF449B"/>
    <w:rsid w:val="00DF45D7"/>
    <w:rsid w:val="00DF4851"/>
    <w:rsid w:val="00DF4990"/>
    <w:rsid w:val="00DF509B"/>
    <w:rsid w:val="00DF5E1F"/>
    <w:rsid w:val="00DF628D"/>
    <w:rsid w:val="00DF69AC"/>
    <w:rsid w:val="00DF79A1"/>
    <w:rsid w:val="00E00094"/>
    <w:rsid w:val="00E006E0"/>
    <w:rsid w:val="00E00CC0"/>
    <w:rsid w:val="00E0112A"/>
    <w:rsid w:val="00E01DCD"/>
    <w:rsid w:val="00E02AFB"/>
    <w:rsid w:val="00E02DC7"/>
    <w:rsid w:val="00E033DC"/>
    <w:rsid w:val="00E03AC9"/>
    <w:rsid w:val="00E0437E"/>
    <w:rsid w:val="00E0484A"/>
    <w:rsid w:val="00E05948"/>
    <w:rsid w:val="00E05FA6"/>
    <w:rsid w:val="00E06632"/>
    <w:rsid w:val="00E0682D"/>
    <w:rsid w:val="00E06F45"/>
    <w:rsid w:val="00E0781B"/>
    <w:rsid w:val="00E07EA0"/>
    <w:rsid w:val="00E07EA9"/>
    <w:rsid w:val="00E10276"/>
    <w:rsid w:val="00E10855"/>
    <w:rsid w:val="00E112E0"/>
    <w:rsid w:val="00E113DE"/>
    <w:rsid w:val="00E120E4"/>
    <w:rsid w:val="00E127DA"/>
    <w:rsid w:val="00E12EE5"/>
    <w:rsid w:val="00E13951"/>
    <w:rsid w:val="00E140FF"/>
    <w:rsid w:val="00E1417D"/>
    <w:rsid w:val="00E14C1C"/>
    <w:rsid w:val="00E14F81"/>
    <w:rsid w:val="00E14FA8"/>
    <w:rsid w:val="00E15832"/>
    <w:rsid w:val="00E15E99"/>
    <w:rsid w:val="00E169F3"/>
    <w:rsid w:val="00E1716C"/>
    <w:rsid w:val="00E175D0"/>
    <w:rsid w:val="00E17721"/>
    <w:rsid w:val="00E20063"/>
    <w:rsid w:val="00E20175"/>
    <w:rsid w:val="00E20351"/>
    <w:rsid w:val="00E20FF0"/>
    <w:rsid w:val="00E210D1"/>
    <w:rsid w:val="00E215A3"/>
    <w:rsid w:val="00E219CF"/>
    <w:rsid w:val="00E221E9"/>
    <w:rsid w:val="00E22248"/>
    <w:rsid w:val="00E238B4"/>
    <w:rsid w:val="00E23C5F"/>
    <w:rsid w:val="00E23CFF"/>
    <w:rsid w:val="00E24682"/>
    <w:rsid w:val="00E2483E"/>
    <w:rsid w:val="00E24DE8"/>
    <w:rsid w:val="00E253D1"/>
    <w:rsid w:val="00E263A8"/>
    <w:rsid w:val="00E267B5"/>
    <w:rsid w:val="00E26F85"/>
    <w:rsid w:val="00E27863"/>
    <w:rsid w:val="00E27E19"/>
    <w:rsid w:val="00E3036D"/>
    <w:rsid w:val="00E30701"/>
    <w:rsid w:val="00E308D4"/>
    <w:rsid w:val="00E31459"/>
    <w:rsid w:val="00E324C1"/>
    <w:rsid w:val="00E326D1"/>
    <w:rsid w:val="00E33AF4"/>
    <w:rsid w:val="00E345A9"/>
    <w:rsid w:val="00E346A8"/>
    <w:rsid w:val="00E347FD"/>
    <w:rsid w:val="00E34846"/>
    <w:rsid w:val="00E34C3B"/>
    <w:rsid w:val="00E357B2"/>
    <w:rsid w:val="00E3591F"/>
    <w:rsid w:val="00E35F0C"/>
    <w:rsid w:val="00E36491"/>
    <w:rsid w:val="00E367A8"/>
    <w:rsid w:val="00E377B2"/>
    <w:rsid w:val="00E3785C"/>
    <w:rsid w:val="00E37A5C"/>
    <w:rsid w:val="00E4066E"/>
    <w:rsid w:val="00E4105F"/>
    <w:rsid w:val="00E41A56"/>
    <w:rsid w:val="00E41A91"/>
    <w:rsid w:val="00E4256E"/>
    <w:rsid w:val="00E42CB9"/>
    <w:rsid w:val="00E42E84"/>
    <w:rsid w:val="00E43C83"/>
    <w:rsid w:val="00E43C99"/>
    <w:rsid w:val="00E44692"/>
    <w:rsid w:val="00E44974"/>
    <w:rsid w:val="00E450F9"/>
    <w:rsid w:val="00E45301"/>
    <w:rsid w:val="00E45527"/>
    <w:rsid w:val="00E46853"/>
    <w:rsid w:val="00E47106"/>
    <w:rsid w:val="00E47A8D"/>
    <w:rsid w:val="00E50096"/>
    <w:rsid w:val="00E500B9"/>
    <w:rsid w:val="00E500C5"/>
    <w:rsid w:val="00E505B5"/>
    <w:rsid w:val="00E51278"/>
    <w:rsid w:val="00E5210E"/>
    <w:rsid w:val="00E521FE"/>
    <w:rsid w:val="00E52802"/>
    <w:rsid w:val="00E538BF"/>
    <w:rsid w:val="00E53BDB"/>
    <w:rsid w:val="00E53FBD"/>
    <w:rsid w:val="00E542DA"/>
    <w:rsid w:val="00E55902"/>
    <w:rsid w:val="00E56520"/>
    <w:rsid w:val="00E565A5"/>
    <w:rsid w:val="00E56682"/>
    <w:rsid w:val="00E5706E"/>
    <w:rsid w:val="00E576FB"/>
    <w:rsid w:val="00E57B37"/>
    <w:rsid w:val="00E57D04"/>
    <w:rsid w:val="00E57D88"/>
    <w:rsid w:val="00E60A6C"/>
    <w:rsid w:val="00E60B09"/>
    <w:rsid w:val="00E61816"/>
    <w:rsid w:val="00E62837"/>
    <w:rsid w:val="00E62AA4"/>
    <w:rsid w:val="00E62F36"/>
    <w:rsid w:val="00E62FB5"/>
    <w:rsid w:val="00E644EC"/>
    <w:rsid w:val="00E646FC"/>
    <w:rsid w:val="00E647D0"/>
    <w:rsid w:val="00E64896"/>
    <w:rsid w:val="00E6555B"/>
    <w:rsid w:val="00E65995"/>
    <w:rsid w:val="00E65CE5"/>
    <w:rsid w:val="00E65EDE"/>
    <w:rsid w:val="00E667A6"/>
    <w:rsid w:val="00E7028A"/>
    <w:rsid w:val="00E704A1"/>
    <w:rsid w:val="00E714A3"/>
    <w:rsid w:val="00E717E9"/>
    <w:rsid w:val="00E718BA"/>
    <w:rsid w:val="00E71DDD"/>
    <w:rsid w:val="00E721B0"/>
    <w:rsid w:val="00E724EC"/>
    <w:rsid w:val="00E72620"/>
    <w:rsid w:val="00E7274A"/>
    <w:rsid w:val="00E73D88"/>
    <w:rsid w:val="00E745A4"/>
    <w:rsid w:val="00E74711"/>
    <w:rsid w:val="00E74834"/>
    <w:rsid w:val="00E76732"/>
    <w:rsid w:val="00E7695D"/>
    <w:rsid w:val="00E76B96"/>
    <w:rsid w:val="00E7724D"/>
    <w:rsid w:val="00E800D2"/>
    <w:rsid w:val="00E80278"/>
    <w:rsid w:val="00E80733"/>
    <w:rsid w:val="00E8076A"/>
    <w:rsid w:val="00E81517"/>
    <w:rsid w:val="00E818E2"/>
    <w:rsid w:val="00E8224C"/>
    <w:rsid w:val="00E82F6B"/>
    <w:rsid w:val="00E84675"/>
    <w:rsid w:val="00E847B1"/>
    <w:rsid w:val="00E85908"/>
    <w:rsid w:val="00E85B64"/>
    <w:rsid w:val="00E85D59"/>
    <w:rsid w:val="00E85D7D"/>
    <w:rsid w:val="00E865A6"/>
    <w:rsid w:val="00E869D5"/>
    <w:rsid w:val="00E87674"/>
    <w:rsid w:val="00E87826"/>
    <w:rsid w:val="00E8797C"/>
    <w:rsid w:val="00E914A6"/>
    <w:rsid w:val="00E917EA"/>
    <w:rsid w:val="00E9181F"/>
    <w:rsid w:val="00E94228"/>
    <w:rsid w:val="00E94402"/>
    <w:rsid w:val="00E9461F"/>
    <w:rsid w:val="00E95526"/>
    <w:rsid w:val="00E959B0"/>
    <w:rsid w:val="00E96191"/>
    <w:rsid w:val="00E969DF"/>
    <w:rsid w:val="00E970E8"/>
    <w:rsid w:val="00E97488"/>
    <w:rsid w:val="00E975A8"/>
    <w:rsid w:val="00EA00F4"/>
    <w:rsid w:val="00EA056C"/>
    <w:rsid w:val="00EA0DFE"/>
    <w:rsid w:val="00EA1068"/>
    <w:rsid w:val="00EA128B"/>
    <w:rsid w:val="00EA12B0"/>
    <w:rsid w:val="00EA199D"/>
    <w:rsid w:val="00EA1F5E"/>
    <w:rsid w:val="00EA3672"/>
    <w:rsid w:val="00EA388F"/>
    <w:rsid w:val="00EA3C6C"/>
    <w:rsid w:val="00EA4685"/>
    <w:rsid w:val="00EA4948"/>
    <w:rsid w:val="00EA4D1E"/>
    <w:rsid w:val="00EA5123"/>
    <w:rsid w:val="00EA5FA4"/>
    <w:rsid w:val="00EA63F1"/>
    <w:rsid w:val="00EA6722"/>
    <w:rsid w:val="00EA681A"/>
    <w:rsid w:val="00EA699E"/>
    <w:rsid w:val="00EA6AB8"/>
    <w:rsid w:val="00EA7B94"/>
    <w:rsid w:val="00EA7D25"/>
    <w:rsid w:val="00EB02A3"/>
    <w:rsid w:val="00EB0E15"/>
    <w:rsid w:val="00EB0EEF"/>
    <w:rsid w:val="00EB0F34"/>
    <w:rsid w:val="00EB13C7"/>
    <w:rsid w:val="00EB1663"/>
    <w:rsid w:val="00EB1717"/>
    <w:rsid w:val="00EB1A11"/>
    <w:rsid w:val="00EB1D61"/>
    <w:rsid w:val="00EB1FDA"/>
    <w:rsid w:val="00EB22CB"/>
    <w:rsid w:val="00EB30F5"/>
    <w:rsid w:val="00EB42CC"/>
    <w:rsid w:val="00EB49C7"/>
    <w:rsid w:val="00EB4B1D"/>
    <w:rsid w:val="00EB55E8"/>
    <w:rsid w:val="00EB5CA5"/>
    <w:rsid w:val="00EB60DA"/>
    <w:rsid w:val="00EB663F"/>
    <w:rsid w:val="00EB6C2A"/>
    <w:rsid w:val="00EB7AE3"/>
    <w:rsid w:val="00EB7B01"/>
    <w:rsid w:val="00EB7E31"/>
    <w:rsid w:val="00EC0041"/>
    <w:rsid w:val="00EC0052"/>
    <w:rsid w:val="00EC0059"/>
    <w:rsid w:val="00EC011A"/>
    <w:rsid w:val="00EC15E0"/>
    <w:rsid w:val="00EC1664"/>
    <w:rsid w:val="00EC2B2A"/>
    <w:rsid w:val="00EC2D82"/>
    <w:rsid w:val="00EC2E3E"/>
    <w:rsid w:val="00EC2EBF"/>
    <w:rsid w:val="00EC3019"/>
    <w:rsid w:val="00EC4156"/>
    <w:rsid w:val="00EC4388"/>
    <w:rsid w:val="00EC4618"/>
    <w:rsid w:val="00EC4E8B"/>
    <w:rsid w:val="00EC4FE8"/>
    <w:rsid w:val="00EC566C"/>
    <w:rsid w:val="00EC5D97"/>
    <w:rsid w:val="00EC5ED9"/>
    <w:rsid w:val="00EC67B3"/>
    <w:rsid w:val="00EC6FD7"/>
    <w:rsid w:val="00EC6FDD"/>
    <w:rsid w:val="00ED0147"/>
    <w:rsid w:val="00ED0370"/>
    <w:rsid w:val="00ED0403"/>
    <w:rsid w:val="00ED09F8"/>
    <w:rsid w:val="00ED1162"/>
    <w:rsid w:val="00ED18E7"/>
    <w:rsid w:val="00ED1EF7"/>
    <w:rsid w:val="00ED3773"/>
    <w:rsid w:val="00ED38E9"/>
    <w:rsid w:val="00ED4370"/>
    <w:rsid w:val="00ED43A1"/>
    <w:rsid w:val="00ED665D"/>
    <w:rsid w:val="00ED6A99"/>
    <w:rsid w:val="00ED760B"/>
    <w:rsid w:val="00ED7A3C"/>
    <w:rsid w:val="00EE0201"/>
    <w:rsid w:val="00EE05EA"/>
    <w:rsid w:val="00EE08D1"/>
    <w:rsid w:val="00EE109D"/>
    <w:rsid w:val="00EE29CC"/>
    <w:rsid w:val="00EE2B81"/>
    <w:rsid w:val="00EE36E5"/>
    <w:rsid w:val="00EE3A54"/>
    <w:rsid w:val="00EE3BCD"/>
    <w:rsid w:val="00EE3C1C"/>
    <w:rsid w:val="00EE45A0"/>
    <w:rsid w:val="00EE469D"/>
    <w:rsid w:val="00EE47B2"/>
    <w:rsid w:val="00EE48C8"/>
    <w:rsid w:val="00EE4E49"/>
    <w:rsid w:val="00EE5B1E"/>
    <w:rsid w:val="00EE6153"/>
    <w:rsid w:val="00EE6DBF"/>
    <w:rsid w:val="00EE6DFE"/>
    <w:rsid w:val="00EE76C3"/>
    <w:rsid w:val="00EF2010"/>
    <w:rsid w:val="00EF2174"/>
    <w:rsid w:val="00EF2F0B"/>
    <w:rsid w:val="00EF42F7"/>
    <w:rsid w:val="00EF4535"/>
    <w:rsid w:val="00EF51D1"/>
    <w:rsid w:val="00EF5D58"/>
    <w:rsid w:val="00EF6FEE"/>
    <w:rsid w:val="00F023BB"/>
    <w:rsid w:val="00F028EE"/>
    <w:rsid w:val="00F02EBE"/>
    <w:rsid w:val="00F03719"/>
    <w:rsid w:val="00F03E06"/>
    <w:rsid w:val="00F04A36"/>
    <w:rsid w:val="00F05BC6"/>
    <w:rsid w:val="00F05C8D"/>
    <w:rsid w:val="00F06864"/>
    <w:rsid w:val="00F07106"/>
    <w:rsid w:val="00F07D2B"/>
    <w:rsid w:val="00F11237"/>
    <w:rsid w:val="00F12927"/>
    <w:rsid w:val="00F12A87"/>
    <w:rsid w:val="00F12D11"/>
    <w:rsid w:val="00F12DEC"/>
    <w:rsid w:val="00F12E90"/>
    <w:rsid w:val="00F12F9D"/>
    <w:rsid w:val="00F1347C"/>
    <w:rsid w:val="00F137C0"/>
    <w:rsid w:val="00F13F1F"/>
    <w:rsid w:val="00F142B2"/>
    <w:rsid w:val="00F1436E"/>
    <w:rsid w:val="00F14429"/>
    <w:rsid w:val="00F149FE"/>
    <w:rsid w:val="00F14D8F"/>
    <w:rsid w:val="00F14E54"/>
    <w:rsid w:val="00F14E69"/>
    <w:rsid w:val="00F15283"/>
    <w:rsid w:val="00F15680"/>
    <w:rsid w:val="00F15ED6"/>
    <w:rsid w:val="00F168EB"/>
    <w:rsid w:val="00F17825"/>
    <w:rsid w:val="00F1786A"/>
    <w:rsid w:val="00F20302"/>
    <w:rsid w:val="00F210D5"/>
    <w:rsid w:val="00F211E0"/>
    <w:rsid w:val="00F21267"/>
    <w:rsid w:val="00F230A1"/>
    <w:rsid w:val="00F23566"/>
    <w:rsid w:val="00F23874"/>
    <w:rsid w:val="00F238AA"/>
    <w:rsid w:val="00F23E7A"/>
    <w:rsid w:val="00F24537"/>
    <w:rsid w:val="00F24C9D"/>
    <w:rsid w:val="00F26823"/>
    <w:rsid w:val="00F26CBD"/>
    <w:rsid w:val="00F27462"/>
    <w:rsid w:val="00F276DF"/>
    <w:rsid w:val="00F27BA0"/>
    <w:rsid w:val="00F30013"/>
    <w:rsid w:val="00F303DA"/>
    <w:rsid w:val="00F304F2"/>
    <w:rsid w:val="00F30DF8"/>
    <w:rsid w:val="00F317A1"/>
    <w:rsid w:val="00F31C0E"/>
    <w:rsid w:val="00F31DAB"/>
    <w:rsid w:val="00F32028"/>
    <w:rsid w:val="00F3224A"/>
    <w:rsid w:val="00F325EB"/>
    <w:rsid w:val="00F33307"/>
    <w:rsid w:val="00F335A7"/>
    <w:rsid w:val="00F33EA4"/>
    <w:rsid w:val="00F3418C"/>
    <w:rsid w:val="00F3463D"/>
    <w:rsid w:val="00F34EA4"/>
    <w:rsid w:val="00F35161"/>
    <w:rsid w:val="00F3523F"/>
    <w:rsid w:val="00F35577"/>
    <w:rsid w:val="00F35B36"/>
    <w:rsid w:val="00F36AAE"/>
    <w:rsid w:val="00F36BFD"/>
    <w:rsid w:val="00F4030E"/>
    <w:rsid w:val="00F4045D"/>
    <w:rsid w:val="00F404FD"/>
    <w:rsid w:val="00F41370"/>
    <w:rsid w:val="00F414F3"/>
    <w:rsid w:val="00F4223B"/>
    <w:rsid w:val="00F42AB9"/>
    <w:rsid w:val="00F431DA"/>
    <w:rsid w:val="00F4365F"/>
    <w:rsid w:val="00F43935"/>
    <w:rsid w:val="00F43C79"/>
    <w:rsid w:val="00F447A8"/>
    <w:rsid w:val="00F44FAC"/>
    <w:rsid w:val="00F46AED"/>
    <w:rsid w:val="00F46CB2"/>
    <w:rsid w:val="00F475E9"/>
    <w:rsid w:val="00F47C82"/>
    <w:rsid w:val="00F47F4D"/>
    <w:rsid w:val="00F5009B"/>
    <w:rsid w:val="00F502B4"/>
    <w:rsid w:val="00F526AC"/>
    <w:rsid w:val="00F529C4"/>
    <w:rsid w:val="00F52A31"/>
    <w:rsid w:val="00F53341"/>
    <w:rsid w:val="00F535EB"/>
    <w:rsid w:val="00F53ADF"/>
    <w:rsid w:val="00F541C3"/>
    <w:rsid w:val="00F5424B"/>
    <w:rsid w:val="00F544AE"/>
    <w:rsid w:val="00F54521"/>
    <w:rsid w:val="00F55177"/>
    <w:rsid w:val="00F5531F"/>
    <w:rsid w:val="00F553F5"/>
    <w:rsid w:val="00F56276"/>
    <w:rsid w:val="00F56C11"/>
    <w:rsid w:val="00F607E6"/>
    <w:rsid w:val="00F6166C"/>
    <w:rsid w:val="00F61982"/>
    <w:rsid w:val="00F61A9C"/>
    <w:rsid w:val="00F63E59"/>
    <w:rsid w:val="00F64C31"/>
    <w:rsid w:val="00F64E08"/>
    <w:rsid w:val="00F64E80"/>
    <w:rsid w:val="00F651A8"/>
    <w:rsid w:val="00F65241"/>
    <w:rsid w:val="00F65829"/>
    <w:rsid w:val="00F6590D"/>
    <w:rsid w:val="00F65F2D"/>
    <w:rsid w:val="00F66195"/>
    <w:rsid w:val="00F66960"/>
    <w:rsid w:val="00F66D84"/>
    <w:rsid w:val="00F66E33"/>
    <w:rsid w:val="00F70A14"/>
    <w:rsid w:val="00F70D8F"/>
    <w:rsid w:val="00F70E61"/>
    <w:rsid w:val="00F70EB5"/>
    <w:rsid w:val="00F72211"/>
    <w:rsid w:val="00F72988"/>
    <w:rsid w:val="00F72ED1"/>
    <w:rsid w:val="00F72EF8"/>
    <w:rsid w:val="00F73000"/>
    <w:rsid w:val="00F73EF6"/>
    <w:rsid w:val="00F74048"/>
    <w:rsid w:val="00F742E3"/>
    <w:rsid w:val="00F74379"/>
    <w:rsid w:val="00F7438F"/>
    <w:rsid w:val="00F744C7"/>
    <w:rsid w:val="00F745C3"/>
    <w:rsid w:val="00F74AA0"/>
    <w:rsid w:val="00F75222"/>
    <w:rsid w:val="00F756D2"/>
    <w:rsid w:val="00F7594D"/>
    <w:rsid w:val="00F75EA4"/>
    <w:rsid w:val="00F769ED"/>
    <w:rsid w:val="00F76B47"/>
    <w:rsid w:val="00F772F7"/>
    <w:rsid w:val="00F8001B"/>
    <w:rsid w:val="00F806EF"/>
    <w:rsid w:val="00F80F60"/>
    <w:rsid w:val="00F811E5"/>
    <w:rsid w:val="00F8280C"/>
    <w:rsid w:val="00F82939"/>
    <w:rsid w:val="00F8305B"/>
    <w:rsid w:val="00F83404"/>
    <w:rsid w:val="00F83592"/>
    <w:rsid w:val="00F8403A"/>
    <w:rsid w:val="00F84197"/>
    <w:rsid w:val="00F84218"/>
    <w:rsid w:val="00F842EE"/>
    <w:rsid w:val="00F84448"/>
    <w:rsid w:val="00F847CA"/>
    <w:rsid w:val="00F84CD4"/>
    <w:rsid w:val="00F85342"/>
    <w:rsid w:val="00F85687"/>
    <w:rsid w:val="00F85C59"/>
    <w:rsid w:val="00F8620B"/>
    <w:rsid w:val="00F864DF"/>
    <w:rsid w:val="00F869DD"/>
    <w:rsid w:val="00F87AFB"/>
    <w:rsid w:val="00F87D7D"/>
    <w:rsid w:val="00F87FC5"/>
    <w:rsid w:val="00F907CA"/>
    <w:rsid w:val="00F90E4B"/>
    <w:rsid w:val="00F90F35"/>
    <w:rsid w:val="00F910A4"/>
    <w:rsid w:val="00F91E52"/>
    <w:rsid w:val="00F92301"/>
    <w:rsid w:val="00F9235D"/>
    <w:rsid w:val="00F92657"/>
    <w:rsid w:val="00F92A92"/>
    <w:rsid w:val="00F92CEB"/>
    <w:rsid w:val="00F92F6B"/>
    <w:rsid w:val="00F92FBD"/>
    <w:rsid w:val="00F93017"/>
    <w:rsid w:val="00F93CEB"/>
    <w:rsid w:val="00F9417B"/>
    <w:rsid w:val="00F941A3"/>
    <w:rsid w:val="00F942A1"/>
    <w:rsid w:val="00F946F5"/>
    <w:rsid w:val="00F95119"/>
    <w:rsid w:val="00F951F1"/>
    <w:rsid w:val="00F95573"/>
    <w:rsid w:val="00F95A6D"/>
    <w:rsid w:val="00F95F18"/>
    <w:rsid w:val="00F96BE5"/>
    <w:rsid w:val="00F96D4D"/>
    <w:rsid w:val="00F97058"/>
    <w:rsid w:val="00F9737C"/>
    <w:rsid w:val="00F97DBE"/>
    <w:rsid w:val="00F97F6B"/>
    <w:rsid w:val="00FA0622"/>
    <w:rsid w:val="00FA0727"/>
    <w:rsid w:val="00FA27AC"/>
    <w:rsid w:val="00FA27EF"/>
    <w:rsid w:val="00FA2A97"/>
    <w:rsid w:val="00FA2B5A"/>
    <w:rsid w:val="00FA313D"/>
    <w:rsid w:val="00FA369E"/>
    <w:rsid w:val="00FA3AEF"/>
    <w:rsid w:val="00FA4CA7"/>
    <w:rsid w:val="00FA52A5"/>
    <w:rsid w:val="00FA658A"/>
    <w:rsid w:val="00FA70D7"/>
    <w:rsid w:val="00FA7272"/>
    <w:rsid w:val="00FB0CDB"/>
    <w:rsid w:val="00FB1EB9"/>
    <w:rsid w:val="00FB2611"/>
    <w:rsid w:val="00FB26C4"/>
    <w:rsid w:val="00FB2817"/>
    <w:rsid w:val="00FB3582"/>
    <w:rsid w:val="00FB6541"/>
    <w:rsid w:val="00FB6B29"/>
    <w:rsid w:val="00FB7160"/>
    <w:rsid w:val="00FB7777"/>
    <w:rsid w:val="00FB7897"/>
    <w:rsid w:val="00FB7975"/>
    <w:rsid w:val="00FC0D29"/>
    <w:rsid w:val="00FC1066"/>
    <w:rsid w:val="00FC14D7"/>
    <w:rsid w:val="00FC1E40"/>
    <w:rsid w:val="00FC2883"/>
    <w:rsid w:val="00FC2DAA"/>
    <w:rsid w:val="00FC3176"/>
    <w:rsid w:val="00FC3735"/>
    <w:rsid w:val="00FC38B5"/>
    <w:rsid w:val="00FC3CD0"/>
    <w:rsid w:val="00FC3E98"/>
    <w:rsid w:val="00FC3FFC"/>
    <w:rsid w:val="00FC4124"/>
    <w:rsid w:val="00FC499D"/>
    <w:rsid w:val="00FC4D29"/>
    <w:rsid w:val="00FC509A"/>
    <w:rsid w:val="00FC538B"/>
    <w:rsid w:val="00FC5785"/>
    <w:rsid w:val="00FC67E9"/>
    <w:rsid w:val="00FC6C48"/>
    <w:rsid w:val="00FC755D"/>
    <w:rsid w:val="00FC7A7B"/>
    <w:rsid w:val="00FC7E77"/>
    <w:rsid w:val="00FD01A4"/>
    <w:rsid w:val="00FD01FB"/>
    <w:rsid w:val="00FD07B7"/>
    <w:rsid w:val="00FD083B"/>
    <w:rsid w:val="00FD184F"/>
    <w:rsid w:val="00FD1E9E"/>
    <w:rsid w:val="00FD20C3"/>
    <w:rsid w:val="00FD30F3"/>
    <w:rsid w:val="00FD3692"/>
    <w:rsid w:val="00FD391A"/>
    <w:rsid w:val="00FD3CDF"/>
    <w:rsid w:val="00FD4C75"/>
    <w:rsid w:val="00FD552F"/>
    <w:rsid w:val="00FD593F"/>
    <w:rsid w:val="00FD5F06"/>
    <w:rsid w:val="00FD673D"/>
    <w:rsid w:val="00FD7BA5"/>
    <w:rsid w:val="00FE0BF0"/>
    <w:rsid w:val="00FE0EF6"/>
    <w:rsid w:val="00FE0F20"/>
    <w:rsid w:val="00FE1615"/>
    <w:rsid w:val="00FE1841"/>
    <w:rsid w:val="00FE1AA2"/>
    <w:rsid w:val="00FE1AA3"/>
    <w:rsid w:val="00FE2300"/>
    <w:rsid w:val="00FE2734"/>
    <w:rsid w:val="00FE29E9"/>
    <w:rsid w:val="00FE366F"/>
    <w:rsid w:val="00FE39DF"/>
    <w:rsid w:val="00FE3DF3"/>
    <w:rsid w:val="00FE3F0A"/>
    <w:rsid w:val="00FE45BF"/>
    <w:rsid w:val="00FE466E"/>
    <w:rsid w:val="00FE4E8A"/>
    <w:rsid w:val="00FE561D"/>
    <w:rsid w:val="00FE57DF"/>
    <w:rsid w:val="00FE62CF"/>
    <w:rsid w:val="00FE6999"/>
    <w:rsid w:val="00FE6A94"/>
    <w:rsid w:val="00FF048D"/>
    <w:rsid w:val="00FF08CB"/>
    <w:rsid w:val="00FF121E"/>
    <w:rsid w:val="00FF146E"/>
    <w:rsid w:val="00FF2ED8"/>
    <w:rsid w:val="00FF3A7F"/>
    <w:rsid w:val="00FF4423"/>
    <w:rsid w:val="00FF50B0"/>
    <w:rsid w:val="00FF53B9"/>
    <w:rsid w:val="00FF5B9F"/>
    <w:rsid w:val="00FF6063"/>
    <w:rsid w:val="00FF6162"/>
    <w:rsid w:val="00FF6985"/>
    <w:rsid w:val="00FF69A5"/>
    <w:rsid w:val="00FF7218"/>
    <w:rsid w:val="00FF7A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o:shapedefaults>
    <o:shapelayout v:ext="edit">
      <o:idmap v:ext="edit" data="2"/>
    </o:shapelayout>
  </w:shapeDefaults>
  <w:decimalSymbol w:val="."/>
  <w:listSeparator w:val=","/>
  <w14:docId w14:val="578AF45C"/>
  <w15:docId w15:val="{44554A7C-0905-43B9-AF53-A4D97892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1"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9E2"/>
    <w:rPr>
      <w:rFonts w:ascii="Verdana" w:hAnsi="Verdana"/>
      <w:szCs w:val="24"/>
    </w:rPr>
  </w:style>
  <w:style w:type="paragraph" w:styleId="Heading1">
    <w:name w:val="heading 1"/>
    <w:basedOn w:val="Normal"/>
    <w:next w:val="Normal"/>
    <w:link w:val="Heading1Char"/>
    <w:autoRedefine/>
    <w:qFormat/>
    <w:rsid w:val="0082694A"/>
    <w:pPr>
      <w:keepNext/>
      <w:numPr>
        <w:numId w:val="33"/>
      </w:numPr>
      <w:spacing w:before="240" w:after="120" w:line="276" w:lineRule="auto"/>
      <w:ind w:right="141"/>
      <w:outlineLvl w:val="0"/>
    </w:pPr>
    <w:rPr>
      <w:rFonts w:asciiTheme="minorHAnsi" w:hAnsiTheme="minorHAnsi" w:cs="Arial"/>
      <w:b/>
      <w:bCs/>
      <w:kern w:val="32"/>
      <w:sz w:val="32"/>
      <w:szCs w:val="28"/>
    </w:rPr>
  </w:style>
  <w:style w:type="paragraph" w:styleId="Heading2">
    <w:name w:val="heading 2"/>
    <w:basedOn w:val="Normal"/>
    <w:next w:val="Normal"/>
    <w:link w:val="Heading2Char"/>
    <w:qFormat/>
    <w:rsid w:val="00B74AD7"/>
    <w:pPr>
      <w:keepNext/>
      <w:numPr>
        <w:ilvl w:val="1"/>
        <w:numId w:val="31"/>
      </w:numPr>
      <w:spacing w:before="240" w:after="120" w:line="276" w:lineRule="auto"/>
      <w:jc w:val="both"/>
      <w:outlineLvl w:val="1"/>
    </w:pPr>
    <w:rPr>
      <w:rFonts w:ascii="Calibri" w:hAnsi="Calibri" w:cs="Arial"/>
      <w:b/>
      <w:bCs/>
      <w:sz w:val="28"/>
      <w:szCs w:val="28"/>
    </w:rPr>
  </w:style>
  <w:style w:type="paragraph" w:styleId="Heading3">
    <w:name w:val="heading 3"/>
    <w:basedOn w:val="Normal"/>
    <w:next w:val="Normal"/>
    <w:link w:val="Heading3Char"/>
    <w:qFormat/>
    <w:rsid w:val="0068321B"/>
    <w:pPr>
      <w:keepNext/>
      <w:numPr>
        <w:ilvl w:val="2"/>
        <w:numId w:val="31"/>
      </w:numPr>
      <w:spacing w:before="240" w:after="120" w:line="276" w:lineRule="auto"/>
      <w:jc w:val="both"/>
      <w:outlineLvl w:val="2"/>
    </w:pPr>
    <w:rPr>
      <w:rFonts w:ascii="Calibri" w:hAnsi="Calibri" w:cs="Arial"/>
      <w:b/>
      <w:bCs/>
      <w:sz w:val="24"/>
      <w:szCs w:val="26"/>
    </w:rPr>
  </w:style>
  <w:style w:type="paragraph" w:styleId="Heading4">
    <w:name w:val="heading 4"/>
    <w:basedOn w:val="Normal"/>
    <w:next w:val="Normal"/>
    <w:link w:val="Heading4Char"/>
    <w:qFormat/>
    <w:rsid w:val="00D57C46"/>
    <w:pPr>
      <w:keepNext/>
      <w:numPr>
        <w:ilvl w:val="3"/>
        <w:numId w:val="31"/>
      </w:numPr>
      <w:spacing w:before="240" w:after="120" w:line="276" w:lineRule="auto"/>
      <w:jc w:val="both"/>
      <w:outlineLvl w:val="3"/>
    </w:pPr>
    <w:rPr>
      <w:rFonts w:asciiTheme="minorHAnsi" w:hAnsiTheme="minorHAnsi"/>
      <w:b/>
      <w:bCs/>
      <w:sz w:val="22"/>
      <w:szCs w:val="28"/>
    </w:rPr>
  </w:style>
  <w:style w:type="paragraph" w:styleId="Heading5">
    <w:name w:val="heading 5"/>
    <w:basedOn w:val="Normal"/>
    <w:next w:val="Normal"/>
    <w:link w:val="Heading5Char"/>
    <w:qFormat/>
    <w:rsid w:val="00D57C46"/>
    <w:pPr>
      <w:numPr>
        <w:ilvl w:val="4"/>
        <w:numId w:val="31"/>
      </w:numPr>
      <w:spacing w:before="240" w:after="60"/>
      <w:outlineLvl w:val="4"/>
    </w:pPr>
    <w:rPr>
      <w:b/>
      <w:bCs/>
      <w:i/>
      <w:iCs/>
      <w:sz w:val="26"/>
      <w:szCs w:val="26"/>
    </w:rPr>
  </w:style>
  <w:style w:type="paragraph" w:styleId="Heading6">
    <w:name w:val="heading 6"/>
    <w:aliases w:val="Do not use 6"/>
    <w:basedOn w:val="Normal"/>
    <w:next w:val="Normal"/>
    <w:qFormat/>
    <w:rsid w:val="00A87553"/>
    <w:pPr>
      <w:numPr>
        <w:ilvl w:val="5"/>
        <w:numId w:val="31"/>
      </w:numPr>
      <w:spacing w:before="240" w:after="60"/>
      <w:outlineLvl w:val="5"/>
    </w:pPr>
    <w:rPr>
      <w:rFonts w:ascii="Times New Roman" w:hAnsi="Times New Roman"/>
      <w:b/>
      <w:bCs/>
      <w:sz w:val="22"/>
      <w:szCs w:val="22"/>
    </w:rPr>
  </w:style>
  <w:style w:type="paragraph" w:styleId="Heading7">
    <w:name w:val="heading 7"/>
    <w:aliases w:val="Do not use 7"/>
    <w:basedOn w:val="Normal"/>
    <w:next w:val="Normal"/>
    <w:qFormat/>
    <w:rsid w:val="00A87553"/>
    <w:pPr>
      <w:numPr>
        <w:ilvl w:val="6"/>
        <w:numId w:val="31"/>
      </w:numPr>
      <w:spacing w:before="240" w:after="60"/>
      <w:outlineLvl w:val="6"/>
    </w:pPr>
    <w:rPr>
      <w:rFonts w:ascii="Times New Roman" w:hAnsi="Times New Roman"/>
      <w:sz w:val="24"/>
    </w:rPr>
  </w:style>
  <w:style w:type="paragraph" w:styleId="Heading8">
    <w:name w:val="heading 8"/>
    <w:aliases w:val="Do not use 8"/>
    <w:basedOn w:val="Normal"/>
    <w:next w:val="Normal"/>
    <w:qFormat/>
    <w:rsid w:val="00A87553"/>
    <w:pPr>
      <w:numPr>
        <w:ilvl w:val="7"/>
        <w:numId w:val="31"/>
      </w:numPr>
      <w:spacing w:before="240" w:after="60"/>
      <w:outlineLvl w:val="7"/>
    </w:pPr>
    <w:rPr>
      <w:rFonts w:ascii="Times New Roman" w:hAnsi="Times New Roman"/>
      <w:i/>
      <w:iCs/>
      <w:sz w:val="24"/>
    </w:rPr>
  </w:style>
  <w:style w:type="paragraph" w:styleId="Heading9">
    <w:name w:val="heading 9"/>
    <w:aliases w:val="Do not use 9"/>
    <w:basedOn w:val="Normal"/>
    <w:next w:val="Normal"/>
    <w:link w:val="Heading9Char"/>
    <w:qFormat/>
    <w:rsid w:val="00A87553"/>
    <w:pPr>
      <w:numPr>
        <w:ilvl w:val="8"/>
        <w:numId w:val="3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B74AD7"/>
    <w:rPr>
      <w:rFonts w:ascii="Calibri" w:hAnsi="Calibri" w:cs="Arial"/>
      <w:b/>
      <w:bCs/>
      <w:sz w:val="28"/>
      <w:szCs w:val="28"/>
    </w:rPr>
  </w:style>
  <w:style w:type="paragraph" w:styleId="Header">
    <w:name w:val="header"/>
    <w:basedOn w:val="Normal"/>
    <w:link w:val="HeaderChar"/>
    <w:rsid w:val="005B2F1A"/>
    <w:pPr>
      <w:tabs>
        <w:tab w:val="center" w:pos="4153"/>
        <w:tab w:val="right" w:pos="8306"/>
      </w:tabs>
    </w:pPr>
  </w:style>
  <w:style w:type="character" w:customStyle="1" w:styleId="HeaderChar">
    <w:name w:val="Header Char"/>
    <w:basedOn w:val="DefaultParagraphFont"/>
    <w:link w:val="Header"/>
    <w:uiPriority w:val="99"/>
    <w:rsid w:val="007F3DB5"/>
    <w:rPr>
      <w:rFonts w:ascii="Verdana" w:hAnsi="Verdana"/>
      <w:szCs w:val="24"/>
    </w:rPr>
  </w:style>
  <w:style w:type="paragraph" w:styleId="Footer">
    <w:name w:val="footer"/>
    <w:basedOn w:val="Normal"/>
    <w:link w:val="FooterChar"/>
    <w:uiPriority w:val="99"/>
    <w:rsid w:val="005B2F1A"/>
    <w:pPr>
      <w:tabs>
        <w:tab w:val="center" w:pos="4153"/>
        <w:tab w:val="right" w:pos="8306"/>
      </w:tabs>
    </w:pPr>
  </w:style>
  <w:style w:type="character" w:customStyle="1" w:styleId="FooterChar">
    <w:name w:val="Footer Char"/>
    <w:link w:val="Footer"/>
    <w:uiPriority w:val="99"/>
    <w:rsid w:val="00CD2916"/>
    <w:rPr>
      <w:rFonts w:ascii="Verdana" w:hAnsi="Verdana"/>
      <w:szCs w:val="24"/>
    </w:rPr>
  </w:style>
  <w:style w:type="paragraph" w:styleId="BalloonText">
    <w:name w:val="Balloon Text"/>
    <w:basedOn w:val="Normal"/>
    <w:semiHidden/>
    <w:rsid w:val="00A56A8A"/>
    <w:rPr>
      <w:rFonts w:ascii="Tahoma" w:hAnsi="Tahoma" w:cs="Tahoma"/>
      <w:sz w:val="16"/>
      <w:szCs w:val="16"/>
    </w:rPr>
  </w:style>
  <w:style w:type="table" w:styleId="TableGrid">
    <w:name w:val="Table Grid"/>
    <w:aliases w:val="Table with Light Blue Header"/>
    <w:basedOn w:val="TableNormal"/>
    <w:uiPriority w:val="39"/>
    <w:rsid w:val="00D11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D1061"/>
  </w:style>
  <w:style w:type="character" w:styleId="Hyperlink">
    <w:name w:val="Hyperlink"/>
    <w:uiPriority w:val="99"/>
    <w:rsid w:val="008D1061"/>
    <w:rPr>
      <w:color w:val="0000FF"/>
      <w:u w:val="single"/>
    </w:rPr>
  </w:style>
  <w:style w:type="paragraph" w:customStyle="1" w:styleId="HEADERCHAPTER3">
    <w:name w:val="HEADER CHAPTER 3"/>
    <w:next w:val="Normal"/>
    <w:semiHidden/>
    <w:rsid w:val="00584F7D"/>
    <w:pPr>
      <w:numPr>
        <w:numId w:val="4"/>
      </w:numPr>
      <w:spacing w:before="240" w:after="240"/>
    </w:pPr>
    <w:rPr>
      <w:rFonts w:ascii="Verdana" w:hAnsi="Verdana"/>
      <w:b/>
      <w:caps/>
      <w:sz w:val="22"/>
    </w:rPr>
  </w:style>
  <w:style w:type="paragraph" w:customStyle="1" w:styleId="HEADERCHAPTER4">
    <w:name w:val="HEADER CHAPTER 4"/>
    <w:next w:val="Normal"/>
    <w:semiHidden/>
    <w:rsid w:val="00C73E04"/>
    <w:pPr>
      <w:numPr>
        <w:numId w:val="5"/>
      </w:numPr>
      <w:spacing w:before="240" w:after="240"/>
    </w:pPr>
    <w:rPr>
      <w:rFonts w:ascii="Verdana" w:hAnsi="Verdana"/>
      <w:b/>
      <w:caps/>
      <w:sz w:val="22"/>
      <w:szCs w:val="22"/>
    </w:rPr>
  </w:style>
  <w:style w:type="paragraph" w:customStyle="1" w:styleId="HEADERCHAPTER1">
    <w:name w:val="HEADER CHAPTER 1"/>
    <w:basedOn w:val="Normal"/>
    <w:semiHidden/>
    <w:rsid w:val="00153735"/>
    <w:pPr>
      <w:numPr>
        <w:numId w:val="3"/>
      </w:numPr>
      <w:tabs>
        <w:tab w:val="clear" w:pos="454"/>
        <w:tab w:val="num" w:pos="1417"/>
      </w:tabs>
      <w:spacing w:before="240" w:after="240"/>
      <w:ind w:left="1417" w:hanging="425"/>
    </w:pPr>
    <w:rPr>
      <w:b/>
      <w:caps/>
      <w:sz w:val="22"/>
      <w:szCs w:val="22"/>
    </w:rPr>
  </w:style>
  <w:style w:type="paragraph" w:customStyle="1" w:styleId="HEADERCHAPTER2">
    <w:name w:val="HEADER CHAPTER 2"/>
    <w:basedOn w:val="HEADERCHAPTER1"/>
    <w:semiHidden/>
    <w:rsid w:val="00584F7D"/>
    <w:pPr>
      <w:numPr>
        <w:numId w:val="1"/>
      </w:numPr>
    </w:pPr>
  </w:style>
  <w:style w:type="paragraph" w:customStyle="1" w:styleId="StyleVerdana10ptCentered">
    <w:name w:val="Style Verdana 10 pt Centered"/>
    <w:basedOn w:val="Normal"/>
    <w:semiHidden/>
    <w:rsid w:val="002309EB"/>
    <w:pPr>
      <w:numPr>
        <w:numId w:val="2"/>
      </w:numPr>
      <w:jc w:val="center"/>
    </w:pPr>
    <w:rPr>
      <w:szCs w:val="20"/>
    </w:rPr>
  </w:style>
  <w:style w:type="paragraph" w:styleId="TOC1">
    <w:name w:val="toc 1"/>
    <w:basedOn w:val="Normal"/>
    <w:next w:val="Normal"/>
    <w:autoRedefine/>
    <w:uiPriority w:val="39"/>
    <w:rsid w:val="00841DFE"/>
    <w:pPr>
      <w:tabs>
        <w:tab w:val="left" w:pos="360"/>
        <w:tab w:val="right" w:leader="dot" w:pos="9628"/>
      </w:tabs>
      <w:spacing w:before="180" w:after="60"/>
      <w:ind w:left="357" w:hanging="357"/>
    </w:pPr>
    <w:rPr>
      <w:rFonts w:asciiTheme="minorHAnsi" w:hAnsiTheme="minorHAnsi" w:cstheme="minorHAnsi"/>
      <w:noProof/>
      <w:sz w:val="22"/>
      <w:szCs w:val="22"/>
    </w:rPr>
  </w:style>
  <w:style w:type="paragraph" w:customStyle="1" w:styleId="PARTHEADER">
    <w:name w:val="PART HEADER"/>
    <w:basedOn w:val="Normal"/>
    <w:semiHidden/>
    <w:rsid w:val="004E30D6"/>
    <w:pPr>
      <w:spacing w:before="120" w:after="120"/>
      <w:jc w:val="center"/>
    </w:pPr>
    <w:rPr>
      <w:sz w:val="36"/>
      <w:szCs w:val="36"/>
    </w:rPr>
  </w:style>
  <w:style w:type="paragraph" w:styleId="TOC2">
    <w:name w:val="toc 2"/>
    <w:basedOn w:val="Normal"/>
    <w:next w:val="Normal"/>
    <w:autoRedefine/>
    <w:uiPriority w:val="39"/>
    <w:rsid w:val="00020621"/>
    <w:pPr>
      <w:tabs>
        <w:tab w:val="left" w:pos="900"/>
        <w:tab w:val="right" w:leader="dot" w:pos="9628"/>
      </w:tabs>
      <w:spacing w:after="60"/>
      <w:ind w:left="896" w:hanging="539"/>
    </w:pPr>
    <w:rPr>
      <w:rFonts w:asciiTheme="minorHAnsi" w:hAnsiTheme="minorHAnsi" w:cstheme="minorHAnsi"/>
      <w:i/>
      <w:noProof/>
      <w:sz w:val="18"/>
      <w:szCs w:val="18"/>
    </w:rPr>
  </w:style>
  <w:style w:type="paragraph" w:styleId="TOC3">
    <w:name w:val="toc 3"/>
    <w:basedOn w:val="Normal"/>
    <w:next w:val="Normal"/>
    <w:autoRedefine/>
    <w:uiPriority w:val="39"/>
    <w:rsid w:val="00CD1A44"/>
    <w:pPr>
      <w:tabs>
        <w:tab w:val="left" w:pos="1620"/>
        <w:tab w:val="right" w:leader="dot" w:pos="9628"/>
      </w:tabs>
      <w:ind w:left="1620" w:hanging="720"/>
    </w:pPr>
    <w:rPr>
      <w:noProof/>
      <w:sz w:val="16"/>
      <w:szCs w:val="16"/>
    </w:rPr>
  </w:style>
  <w:style w:type="character" w:styleId="CommentReference">
    <w:name w:val="annotation reference"/>
    <w:uiPriority w:val="99"/>
    <w:rsid w:val="00E15E99"/>
    <w:rPr>
      <w:sz w:val="16"/>
      <w:szCs w:val="16"/>
    </w:rPr>
  </w:style>
  <w:style w:type="paragraph" w:styleId="CommentText">
    <w:name w:val="annotation text"/>
    <w:basedOn w:val="Normal"/>
    <w:link w:val="CommentTextChar"/>
    <w:uiPriority w:val="99"/>
    <w:rsid w:val="00E15E99"/>
    <w:rPr>
      <w:szCs w:val="20"/>
    </w:rPr>
  </w:style>
  <w:style w:type="paragraph" w:styleId="CommentSubject">
    <w:name w:val="annotation subject"/>
    <w:basedOn w:val="CommentText"/>
    <w:next w:val="CommentText"/>
    <w:semiHidden/>
    <w:rsid w:val="00E15E99"/>
    <w:rPr>
      <w:b/>
      <w:bCs/>
    </w:rPr>
  </w:style>
  <w:style w:type="paragraph" w:customStyle="1" w:styleId="NormalSimple">
    <w:name w:val="Normal Simple"/>
    <w:basedOn w:val="AgendaItemnr"/>
    <w:link w:val="NormalSimpleChar"/>
    <w:rsid w:val="00B465FA"/>
    <w:pPr>
      <w:numPr>
        <w:numId w:val="0"/>
      </w:numPr>
    </w:pPr>
    <w:rPr>
      <w:b w:val="0"/>
    </w:rPr>
  </w:style>
  <w:style w:type="paragraph" w:customStyle="1" w:styleId="AgendaItemnr">
    <w:name w:val="Agenda_Item_nr"/>
    <w:basedOn w:val="Agendaitem"/>
    <w:next w:val="Normal"/>
    <w:rsid w:val="00B465FA"/>
    <w:pPr>
      <w:numPr>
        <w:numId w:val="6"/>
      </w:numPr>
    </w:pPr>
  </w:style>
  <w:style w:type="paragraph" w:customStyle="1" w:styleId="Agendaitem">
    <w:name w:val="Agenda_item"/>
    <w:basedOn w:val="Normal"/>
    <w:rsid w:val="00B465FA"/>
    <w:pPr>
      <w:tabs>
        <w:tab w:val="left" w:pos="1092"/>
        <w:tab w:val="left" w:pos="1347"/>
        <w:tab w:val="left" w:pos="1647"/>
        <w:tab w:val="left" w:pos="1962"/>
      </w:tabs>
    </w:pPr>
    <w:rPr>
      <w:b/>
      <w:szCs w:val="20"/>
    </w:rPr>
  </w:style>
  <w:style w:type="character" w:customStyle="1" w:styleId="NormalSimpleChar">
    <w:name w:val="Normal Simple Char"/>
    <w:link w:val="NormalSimple"/>
    <w:rsid w:val="008516BF"/>
    <w:rPr>
      <w:rFonts w:ascii="Verdana" w:hAnsi="Verdana"/>
      <w:lang w:val="en-GB" w:eastAsia="en-GB" w:bidi="ar-SA"/>
    </w:rPr>
  </w:style>
  <w:style w:type="paragraph" w:customStyle="1" w:styleId="Bullet1">
    <w:name w:val="Bullet1"/>
    <w:basedOn w:val="Normal"/>
    <w:rsid w:val="00B465FA"/>
    <w:pPr>
      <w:numPr>
        <w:numId w:val="7"/>
      </w:numPr>
      <w:jc w:val="both"/>
    </w:pPr>
    <w:rPr>
      <w:szCs w:val="20"/>
      <w:lang w:val="pt-PT"/>
    </w:rPr>
  </w:style>
  <w:style w:type="paragraph" w:customStyle="1" w:styleId="Bullet2">
    <w:name w:val="Bullet2"/>
    <w:basedOn w:val="Bullet1"/>
    <w:rsid w:val="00B465FA"/>
    <w:pPr>
      <w:numPr>
        <w:numId w:val="8"/>
      </w:numPr>
    </w:pPr>
  </w:style>
  <w:style w:type="paragraph" w:styleId="DocumentMap">
    <w:name w:val="Document Map"/>
    <w:basedOn w:val="Normal"/>
    <w:semiHidden/>
    <w:rsid w:val="00C70EEB"/>
    <w:pPr>
      <w:shd w:val="clear" w:color="auto" w:fill="000080"/>
    </w:pPr>
    <w:rPr>
      <w:rFonts w:ascii="Tahoma" w:hAnsi="Tahoma" w:cs="Tahoma"/>
      <w:szCs w:val="20"/>
    </w:rPr>
  </w:style>
  <w:style w:type="paragraph" w:customStyle="1" w:styleId="BulletPont1">
    <w:name w:val="Bullet Pont 1"/>
    <w:basedOn w:val="Normal"/>
    <w:rsid w:val="0083114B"/>
    <w:pPr>
      <w:tabs>
        <w:tab w:val="num" w:pos="397"/>
      </w:tabs>
      <w:ind w:left="397" w:hanging="397"/>
      <w:jc w:val="both"/>
    </w:pPr>
    <w:rPr>
      <w:rFonts w:ascii="Calibri" w:hAnsi="Calibri"/>
      <w:sz w:val="22"/>
      <w:szCs w:val="20"/>
      <w:lang w:val="pt-PT"/>
    </w:rPr>
  </w:style>
  <w:style w:type="paragraph" w:customStyle="1" w:styleId="BulletPoint2SubBullet">
    <w:name w:val="Bullet Point 2 (Sub Bullet)"/>
    <w:basedOn w:val="BulletPont1"/>
    <w:rsid w:val="0083114B"/>
    <w:pPr>
      <w:ind w:left="794"/>
    </w:pPr>
  </w:style>
  <w:style w:type="paragraph" w:customStyle="1" w:styleId="Untertitel1">
    <w:name w:val="Untertitel1"/>
    <w:basedOn w:val="Normal"/>
    <w:qFormat/>
    <w:rsid w:val="0083114B"/>
    <w:pPr>
      <w:jc w:val="center"/>
    </w:pPr>
    <w:rPr>
      <w:rFonts w:ascii="Calibri" w:hAnsi="Calibri"/>
      <w:color w:val="222F64"/>
      <w:sz w:val="36"/>
      <w:szCs w:val="32"/>
    </w:rPr>
  </w:style>
  <w:style w:type="paragraph" w:customStyle="1" w:styleId="Titel1">
    <w:name w:val="Titel1"/>
    <w:basedOn w:val="Normal"/>
    <w:qFormat/>
    <w:rsid w:val="0083114B"/>
    <w:pPr>
      <w:jc w:val="center"/>
    </w:pPr>
    <w:rPr>
      <w:rFonts w:ascii="Calibri" w:hAnsi="Calibri"/>
      <w:b/>
      <w:color w:val="007FC2"/>
      <w:sz w:val="40"/>
      <w:szCs w:val="36"/>
    </w:rPr>
  </w:style>
  <w:style w:type="paragraph" w:styleId="ListParagraph">
    <w:name w:val="List Paragraph"/>
    <w:aliases w:val="ACTIONS,Bullet List Paragraph,Lettre d'introduction,Numbered paragraph 1,1st level - Bullet List Paragraph,Heading 4 bullet,List Paragraph1,lp1,Paragrafo elenco,Listeafsnit"/>
    <w:basedOn w:val="Normal"/>
    <w:link w:val="ListParagraphChar"/>
    <w:uiPriority w:val="34"/>
    <w:qFormat/>
    <w:rsid w:val="004347B9"/>
    <w:pPr>
      <w:ind w:left="720"/>
      <w:contextualSpacing/>
    </w:pPr>
  </w:style>
  <w:style w:type="paragraph" w:customStyle="1" w:styleId="BodyText1">
    <w:name w:val="BodyText1"/>
    <w:basedOn w:val="Normal"/>
    <w:qFormat/>
    <w:rsid w:val="008F59C0"/>
    <w:pPr>
      <w:spacing w:before="60" w:after="60"/>
      <w:jc w:val="both"/>
    </w:pPr>
    <w:rPr>
      <w:rFonts w:ascii="Calibri" w:hAnsi="Calibri"/>
      <w:sz w:val="22"/>
    </w:rPr>
  </w:style>
  <w:style w:type="character" w:styleId="Emphasis">
    <w:name w:val="Emphasis"/>
    <w:basedOn w:val="DefaultParagraphFont"/>
    <w:qFormat/>
    <w:rsid w:val="00232444"/>
    <w:rPr>
      <w:i/>
      <w:iCs/>
    </w:rPr>
  </w:style>
  <w:style w:type="paragraph" w:styleId="Subtitle">
    <w:name w:val="Subtitle"/>
    <w:basedOn w:val="Normal"/>
    <w:next w:val="Normal"/>
    <w:link w:val="SubtitleChar"/>
    <w:qFormat/>
    <w:rsid w:val="0023244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32444"/>
    <w:rPr>
      <w:rFonts w:asciiTheme="minorHAnsi" w:eastAsiaTheme="minorEastAsia" w:hAnsiTheme="minorHAnsi" w:cstheme="minorBidi"/>
      <w:color w:val="5A5A5A" w:themeColor="text1" w:themeTint="A5"/>
      <w:spacing w:val="15"/>
      <w:sz w:val="22"/>
      <w:szCs w:val="22"/>
    </w:rPr>
  </w:style>
  <w:style w:type="table" w:customStyle="1" w:styleId="ListTable3-Accent31">
    <w:name w:val="List Table 3 - Accent 31"/>
    <w:basedOn w:val="TableNormal"/>
    <w:uiPriority w:val="48"/>
    <w:rsid w:val="003518F9"/>
    <w:rPr>
      <w:rFonts w:asciiTheme="minorHAnsi" w:eastAsiaTheme="minorHAnsi" w:hAnsiTheme="minorHAnsi" w:cstheme="minorBidi"/>
      <w:sz w:val="22"/>
      <w:szCs w:val="22"/>
      <w:lang w:eastAsia="en-US"/>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GridTable3-Accent11">
    <w:name w:val="Grid Table 3 - Accent 11"/>
    <w:basedOn w:val="TableNormal"/>
    <w:uiPriority w:val="48"/>
    <w:rsid w:val="003518F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PlainTable51">
    <w:name w:val="Plain Table 51"/>
    <w:basedOn w:val="TableNormal"/>
    <w:uiPriority w:val="45"/>
    <w:rsid w:val="003518F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4C5280"/>
    <w:rPr>
      <w:rFonts w:ascii="Verdana" w:hAnsi="Verdana"/>
      <w:szCs w:val="24"/>
    </w:rPr>
  </w:style>
  <w:style w:type="character" w:styleId="FollowedHyperlink">
    <w:name w:val="FollowedHyperlink"/>
    <w:basedOn w:val="DefaultParagraphFont"/>
    <w:uiPriority w:val="99"/>
    <w:semiHidden/>
    <w:unhideWhenUsed/>
    <w:rsid w:val="00563091"/>
    <w:rPr>
      <w:color w:val="800080" w:themeColor="followedHyperlink"/>
      <w:u w:val="single"/>
    </w:rPr>
  </w:style>
  <w:style w:type="paragraph" w:customStyle="1" w:styleId="Default">
    <w:name w:val="Default"/>
    <w:rsid w:val="00C514FB"/>
    <w:pPr>
      <w:autoSpaceDE w:val="0"/>
      <w:autoSpaceDN w:val="0"/>
      <w:adjustRightInd w:val="0"/>
    </w:pPr>
    <w:rPr>
      <w:rFonts w:ascii="Calibri" w:hAnsi="Calibri" w:cs="Calibri"/>
      <w:color w:val="000000"/>
      <w:sz w:val="24"/>
      <w:szCs w:val="24"/>
    </w:rPr>
  </w:style>
  <w:style w:type="paragraph" w:styleId="FootnoteText">
    <w:name w:val="footnote text"/>
    <w:aliases w:val="Footnote Text Custom,single space,Footnote Text EPAS,Schriftart: 9 pt,Schriftart: 10 pt,Schriftart: 8 pt,WB-Fußnotentext,fn,Footnotes,Footnote ak,Tekst przypisu,Fußnote,Fotnotstext1,Footnote text,Footnote Text Char2"/>
    <w:basedOn w:val="Normal"/>
    <w:link w:val="FootnoteTextChar"/>
    <w:uiPriority w:val="99"/>
    <w:qFormat/>
    <w:rsid w:val="00AC3439"/>
    <w:rPr>
      <w:rFonts w:ascii="Calibri" w:hAnsi="Calibri"/>
      <w:szCs w:val="20"/>
    </w:rPr>
  </w:style>
  <w:style w:type="character" w:customStyle="1" w:styleId="FootnoteTextChar">
    <w:name w:val="Footnote Text Char"/>
    <w:aliases w:val="Footnote Text Custom Char,single space Char,Footnote Text EPAS Char,Schriftart: 9 pt Char,Schriftart: 10 pt Char,Schriftart: 8 pt Char,WB-Fußnotentext Char,fn Char,Footnotes Char,Footnote ak Char,Tekst przypisu Char,Fußnote Char"/>
    <w:basedOn w:val="DefaultParagraphFont"/>
    <w:link w:val="FootnoteText"/>
    <w:uiPriority w:val="99"/>
    <w:rsid w:val="00AC3439"/>
    <w:rPr>
      <w:rFonts w:ascii="Calibri" w:hAnsi="Calibri"/>
    </w:rPr>
  </w:style>
  <w:style w:type="character" w:styleId="FootnoteReference">
    <w:name w:val="footnote reference"/>
    <w:aliases w:val="Footnote call,BVI fnr,BVI fnr Car Car,BVI fnr Car,BVI fnr Car Car Car Car,BVI fnr Car Car Car Car Char,Footnote symbol,Footnote symboFußnotenzeichen,Footnote sign,SUPERS,Footnote,Voetnootverwijzing,Footnote number,fr,o,Footnotemark,FR"/>
    <w:basedOn w:val="DefaultParagraphFont"/>
    <w:link w:val="Char2"/>
    <w:uiPriority w:val="99"/>
    <w:qFormat/>
    <w:rsid w:val="00AC3439"/>
    <w:rPr>
      <w:vertAlign w:val="superscript"/>
    </w:rPr>
  </w:style>
  <w:style w:type="paragraph" w:customStyle="1" w:styleId="StyleHeadinggreen">
    <w:name w:val="Style Heading green"/>
    <w:basedOn w:val="Heading2"/>
    <w:qFormat/>
    <w:rsid w:val="00D347CE"/>
    <w:pPr>
      <w:shd w:val="clear" w:color="auto" w:fill="9BBB59" w:themeFill="accent3"/>
    </w:pPr>
    <w:rPr>
      <w:rFonts w:asciiTheme="minorHAnsi" w:hAnsiTheme="minorHAnsi"/>
      <w:i/>
      <w:iCs/>
    </w:rPr>
  </w:style>
  <w:style w:type="paragraph" w:customStyle="1" w:styleId="Style1efficiency">
    <w:name w:val="Style1 efficiency"/>
    <w:basedOn w:val="Heading2"/>
    <w:link w:val="Style1efficiencyChar"/>
    <w:qFormat/>
    <w:rsid w:val="00561BCB"/>
    <w:pPr>
      <w:shd w:val="clear" w:color="auto" w:fill="C1524F"/>
    </w:pPr>
    <w:rPr>
      <w:rFonts w:asciiTheme="minorHAnsi" w:hAnsiTheme="minorHAnsi"/>
      <w:i/>
    </w:rPr>
  </w:style>
  <w:style w:type="paragraph" w:customStyle="1" w:styleId="Style1blue">
    <w:name w:val="Style1 blue"/>
    <w:basedOn w:val="Heading2"/>
    <w:qFormat/>
    <w:rsid w:val="00561BCB"/>
    <w:pPr>
      <w:shd w:val="clear" w:color="auto" w:fill="548DD4"/>
    </w:pPr>
    <w:rPr>
      <w:i/>
    </w:rPr>
  </w:style>
  <w:style w:type="character" w:customStyle="1" w:styleId="Style1efficiencyChar">
    <w:name w:val="Style1 efficiency Char"/>
    <w:basedOn w:val="Heading2Char"/>
    <w:link w:val="Style1efficiency"/>
    <w:rsid w:val="00561BCB"/>
    <w:rPr>
      <w:rFonts w:asciiTheme="minorHAnsi" w:hAnsiTheme="minorHAnsi" w:cs="Arial"/>
      <w:b/>
      <w:bCs/>
      <w:i/>
      <w:sz w:val="28"/>
      <w:szCs w:val="28"/>
      <w:shd w:val="clear" w:color="auto" w:fill="C1524F"/>
    </w:rPr>
  </w:style>
  <w:style w:type="paragraph" w:styleId="Caption">
    <w:name w:val="caption"/>
    <w:basedOn w:val="Normal"/>
    <w:next w:val="Normal"/>
    <w:uiPriority w:val="4"/>
    <w:unhideWhenUsed/>
    <w:qFormat/>
    <w:rsid w:val="007959EE"/>
    <w:pPr>
      <w:keepNext/>
      <w:spacing w:after="200"/>
      <w:jc w:val="both"/>
    </w:pPr>
    <w:rPr>
      <w:rFonts w:ascii="Calibri" w:hAnsi="Calibri" w:cs="Calibri"/>
      <w:i/>
      <w:iCs/>
      <w:color w:val="1F497D" w:themeColor="text2"/>
      <w:szCs w:val="18"/>
    </w:rPr>
  </w:style>
  <w:style w:type="paragraph" w:styleId="PlainText">
    <w:name w:val="Plain Text"/>
    <w:basedOn w:val="Normal"/>
    <w:link w:val="PlainTextChar"/>
    <w:uiPriority w:val="99"/>
    <w:unhideWhenUsed/>
    <w:rsid w:val="00F4365F"/>
    <w:rPr>
      <w:rFonts w:ascii="Calibri" w:eastAsiaTheme="minorHAnsi" w:hAnsi="Calibri"/>
      <w:sz w:val="22"/>
      <w:szCs w:val="22"/>
      <w:lang w:eastAsia="en-US"/>
    </w:rPr>
  </w:style>
  <w:style w:type="character" w:customStyle="1" w:styleId="PlainTextChar">
    <w:name w:val="Plain Text Char"/>
    <w:basedOn w:val="DefaultParagraphFont"/>
    <w:link w:val="PlainText"/>
    <w:uiPriority w:val="99"/>
    <w:rsid w:val="00F4365F"/>
    <w:rPr>
      <w:rFonts w:ascii="Calibri" w:eastAsiaTheme="minorHAnsi" w:hAnsi="Calibri"/>
      <w:sz w:val="22"/>
      <w:szCs w:val="22"/>
      <w:lang w:eastAsia="en-US"/>
    </w:rPr>
  </w:style>
  <w:style w:type="character" w:styleId="Strong">
    <w:name w:val="Strong"/>
    <w:basedOn w:val="DefaultParagraphFont"/>
    <w:uiPriority w:val="1"/>
    <w:qFormat/>
    <w:rsid w:val="00BF130B"/>
    <w:rPr>
      <w:b/>
      <w:bCs/>
    </w:rPr>
  </w:style>
  <w:style w:type="numbering" w:customStyle="1" w:styleId="Style1import">
    <w:name w:val="Style 1 importé"/>
    <w:rsid w:val="00AC3F6A"/>
    <w:pPr>
      <w:numPr>
        <w:numId w:val="9"/>
      </w:numPr>
    </w:pPr>
  </w:style>
  <w:style w:type="numbering" w:customStyle="1" w:styleId="Style2import">
    <w:name w:val="Style 2 importé"/>
    <w:rsid w:val="00AC3F6A"/>
    <w:pPr>
      <w:numPr>
        <w:numId w:val="10"/>
      </w:numPr>
    </w:pPr>
  </w:style>
  <w:style w:type="numbering" w:customStyle="1" w:styleId="Style7import">
    <w:name w:val="Style 7 importé"/>
    <w:rsid w:val="00AC3F6A"/>
    <w:pPr>
      <w:numPr>
        <w:numId w:val="11"/>
      </w:numPr>
    </w:pPr>
  </w:style>
  <w:style w:type="numbering" w:customStyle="1" w:styleId="Style8import">
    <w:name w:val="Style 8 importé"/>
    <w:rsid w:val="00AC3F6A"/>
    <w:pPr>
      <w:numPr>
        <w:numId w:val="12"/>
      </w:numPr>
    </w:pPr>
  </w:style>
  <w:style w:type="character" w:customStyle="1" w:styleId="CommentTextChar">
    <w:name w:val="Comment Text Char"/>
    <w:basedOn w:val="DefaultParagraphFont"/>
    <w:link w:val="CommentText"/>
    <w:uiPriority w:val="99"/>
    <w:rsid w:val="0052127D"/>
    <w:rPr>
      <w:rFonts w:ascii="Verdana" w:hAnsi="Verdana"/>
    </w:rPr>
  </w:style>
  <w:style w:type="paragraph" w:styleId="Index1">
    <w:name w:val="index 1"/>
    <w:basedOn w:val="Normal"/>
    <w:next w:val="Normal"/>
    <w:autoRedefine/>
    <w:uiPriority w:val="99"/>
    <w:unhideWhenUsed/>
    <w:rsid w:val="003D2B2C"/>
    <w:pPr>
      <w:ind w:left="200" w:hanging="200"/>
    </w:pPr>
    <w:rPr>
      <w:rFonts w:asciiTheme="minorHAnsi" w:hAnsiTheme="minorHAnsi"/>
      <w:sz w:val="18"/>
      <w:szCs w:val="18"/>
    </w:rPr>
  </w:style>
  <w:style w:type="paragraph" w:styleId="Index2">
    <w:name w:val="index 2"/>
    <w:basedOn w:val="Normal"/>
    <w:next w:val="Normal"/>
    <w:autoRedefine/>
    <w:unhideWhenUsed/>
    <w:rsid w:val="003D2B2C"/>
    <w:pPr>
      <w:ind w:left="400" w:hanging="200"/>
    </w:pPr>
    <w:rPr>
      <w:rFonts w:asciiTheme="minorHAnsi" w:hAnsiTheme="minorHAnsi"/>
      <w:sz w:val="18"/>
      <w:szCs w:val="18"/>
    </w:rPr>
  </w:style>
  <w:style w:type="paragraph" w:styleId="Index3">
    <w:name w:val="index 3"/>
    <w:basedOn w:val="Normal"/>
    <w:next w:val="Normal"/>
    <w:autoRedefine/>
    <w:unhideWhenUsed/>
    <w:rsid w:val="003D2B2C"/>
    <w:pPr>
      <w:ind w:left="600" w:hanging="200"/>
    </w:pPr>
    <w:rPr>
      <w:rFonts w:asciiTheme="minorHAnsi" w:hAnsiTheme="minorHAnsi"/>
      <w:sz w:val="18"/>
      <w:szCs w:val="18"/>
    </w:rPr>
  </w:style>
  <w:style w:type="paragraph" w:styleId="Index4">
    <w:name w:val="index 4"/>
    <w:basedOn w:val="Normal"/>
    <w:next w:val="Normal"/>
    <w:autoRedefine/>
    <w:unhideWhenUsed/>
    <w:rsid w:val="003D2B2C"/>
    <w:pPr>
      <w:ind w:left="800" w:hanging="200"/>
    </w:pPr>
    <w:rPr>
      <w:rFonts w:asciiTheme="minorHAnsi" w:hAnsiTheme="minorHAnsi"/>
      <w:sz w:val="18"/>
      <w:szCs w:val="18"/>
    </w:rPr>
  </w:style>
  <w:style w:type="paragraph" w:styleId="Index5">
    <w:name w:val="index 5"/>
    <w:basedOn w:val="Normal"/>
    <w:next w:val="Normal"/>
    <w:autoRedefine/>
    <w:unhideWhenUsed/>
    <w:rsid w:val="003D2B2C"/>
    <w:pPr>
      <w:ind w:left="1000" w:hanging="200"/>
    </w:pPr>
    <w:rPr>
      <w:rFonts w:asciiTheme="minorHAnsi" w:hAnsiTheme="minorHAnsi"/>
      <w:sz w:val="18"/>
      <w:szCs w:val="18"/>
    </w:rPr>
  </w:style>
  <w:style w:type="paragraph" w:styleId="Index6">
    <w:name w:val="index 6"/>
    <w:basedOn w:val="Normal"/>
    <w:next w:val="Normal"/>
    <w:autoRedefine/>
    <w:unhideWhenUsed/>
    <w:rsid w:val="003D2B2C"/>
    <w:pPr>
      <w:ind w:left="1200" w:hanging="200"/>
    </w:pPr>
    <w:rPr>
      <w:rFonts w:asciiTheme="minorHAnsi" w:hAnsiTheme="minorHAnsi"/>
      <w:sz w:val="18"/>
      <w:szCs w:val="18"/>
    </w:rPr>
  </w:style>
  <w:style w:type="paragraph" w:styleId="Index7">
    <w:name w:val="index 7"/>
    <w:basedOn w:val="Normal"/>
    <w:next w:val="Normal"/>
    <w:autoRedefine/>
    <w:unhideWhenUsed/>
    <w:rsid w:val="003D2B2C"/>
    <w:pPr>
      <w:ind w:left="1400" w:hanging="200"/>
    </w:pPr>
    <w:rPr>
      <w:rFonts w:asciiTheme="minorHAnsi" w:hAnsiTheme="minorHAnsi"/>
      <w:sz w:val="18"/>
      <w:szCs w:val="18"/>
    </w:rPr>
  </w:style>
  <w:style w:type="paragraph" w:styleId="Index8">
    <w:name w:val="index 8"/>
    <w:basedOn w:val="Normal"/>
    <w:next w:val="Normal"/>
    <w:autoRedefine/>
    <w:unhideWhenUsed/>
    <w:rsid w:val="003D2B2C"/>
    <w:pPr>
      <w:ind w:left="1600" w:hanging="200"/>
    </w:pPr>
    <w:rPr>
      <w:rFonts w:asciiTheme="minorHAnsi" w:hAnsiTheme="minorHAnsi"/>
      <w:sz w:val="18"/>
      <w:szCs w:val="18"/>
    </w:rPr>
  </w:style>
  <w:style w:type="paragraph" w:styleId="Index9">
    <w:name w:val="index 9"/>
    <w:basedOn w:val="Normal"/>
    <w:next w:val="Normal"/>
    <w:autoRedefine/>
    <w:unhideWhenUsed/>
    <w:rsid w:val="003D2B2C"/>
    <w:pPr>
      <w:ind w:left="1800" w:hanging="200"/>
    </w:pPr>
    <w:rPr>
      <w:rFonts w:asciiTheme="minorHAnsi" w:hAnsiTheme="minorHAnsi"/>
      <w:sz w:val="18"/>
      <w:szCs w:val="18"/>
    </w:rPr>
  </w:style>
  <w:style w:type="paragraph" w:styleId="IndexHeading">
    <w:name w:val="index heading"/>
    <w:basedOn w:val="Normal"/>
    <w:next w:val="Index1"/>
    <w:uiPriority w:val="99"/>
    <w:unhideWhenUsed/>
    <w:rsid w:val="003D2B2C"/>
    <w:pPr>
      <w:pBdr>
        <w:top w:val="single" w:sz="12" w:space="0" w:color="auto"/>
      </w:pBdr>
      <w:spacing w:before="360" w:after="240"/>
    </w:pPr>
    <w:rPr>
      <w:rFonts w:asciiTheme="minorHAnsi" w:hAnsiTheme="minorHAnsi"/>
      <w:b/>
      <w:bCs/>
      <w:i/>
      <w:iCs/>
      <w:sz w:val="26"/>
      <w:szCs w:val="26"/>
    </w:rPr>
  </w:style>
  <w:style w:type="paragraph" w:customStyle="1" w:styleId="StyleHeading3BodyCalibriPatternClearAccent6">
    <w:name w:val="Style Heading 3 + +Body (Calibri) Pattern: Clear (Accent 6)"/>
    <w:basedOn w:val="Heading3"/>
    <w:rsid w:val="0031669F"/>
    <w:pPr>
      <w:shd w:val="clear" w:color="auto" w:fill="F79646"/>
    </w:pPr>
    <w:rPr>
      <w:rFonts w:asciiTheme="minorHAnsi" w:hAnsiTheme="minorHAnsi" w:cs="Times New Roman"/>
      <w:bCs w:val="0"/>
      <w:szCs w:val="20"/>
    </w:rPr>
  </w:style>
  <w:style w:type="paragraph" w:styleId="NoSpacing">
    <w:name w:val="No Spacing"/>
    <w:uiPriority w:val="1"/>
    <w:qFormat/>
    <w:rsid w:val="006438B4"/>
    <w:rPr>
      <w:rFonts w:ascii="Calibri" w:eastAsia="Calibri" w:hAnsi="Calibri"/>
      <w:sz w:val="22"/>
      <w:szCs w:val="22"/>
      <w:lang w:eastAsia="en-US"/>
    </w:rPr>
  </w:style>
  <w:style w:type="character" w:customStyle="1" w:styleId="ListParagraphChar">
    <w:name w:val="List Paragraph Char"/>
    <w:aliases w:val="ACTIONS Char,Bullet List Paragraph Char,Lettre d'introduction Char,Numbered paragraph 1 Char,1st level - Bullet List Paragraph Char,Heading 4 bullet Char,List Paragraph1 Char,lp1 Char,Paragrafo elenco Char,Listeafsnit Char"/>
    <w:link w:val="ListParagraph"/>
    <w:uiPriority w:val="34"/>
    <w:rsid w:val="00FD3692"/>
    <w:rPr>
      <w:rFonts w:ascii="Verdana" w:hAnsi="Verdana"/>
      <w:szCs w:val="24"/>
    </w:rPr>
  </w:style>
  <w:style w:type="paragraph" w:customStyle="1" w:styleId="Char2">
    <w:name w:val="Char2"/>
    <w:basedOn w:val="Normal"/>
    <w:link w:val="FootnoteReference"/>
    <w:uiPriority w:val="99"/>
    <w:rsid w:val="0093458D"/>
    <w:pPr>
      <w:spacing w:after="160" w:line="240" w:lineRule="exact"/>
    </w:pPr>
    <w:rPr>
      <w:rFonts w:ascii="Times New Roman" w:hAnsi="Times New Roman"/>
      <w:szCs w:val="20"/>
      <w:vertAlign w:val="superscript"/>
    </w:rPr>
  </w:style>
  <w:style w:type="paragraph" w:styleId="ListBullet2">
    <w:name w:val="List Bullet 2"/>
    <w:basedOn w:val="Normal"/>
    <w:rsid w:val="00672D62"/>
    <w:pPr>
      <w:numPr>
        <w:numId w:val="14"/>
      </w:numPr>
      <w:jc w:val="both"/>
    </w:pPr>
    <w:rPr>
      <w:rFonts w:ascii="Times New Roman" w:hAnsi="Times New Roman"/>
      <w:sz w:val="22"/>
      <w:szCs w:val="20"/>
      <w:lang w:eastAsia="en-US"/>
    </w:rPr>
  </w:style>
  <w:style w:type="paragraph" w:customStyle="1" w:styleId="Standardtext">
    <w:name w:val="Standard text"/>
    <w:basedOn w:val="Normal"/>
    <w:link w:val="StandardtextChar"/>
    <w:qFormat/>
    <w:rsid w:val="00510ADB"/>
    <w:pPr>
      <w:autoSpaceDE w:val="0"/>
      <w:autoSpaceDN w:val="0"/>
      <w:adjustRightInd w:val="0"/>
      <w:spacing w:after="120" w:line="276" w:lineRule="auto"/>
      <w:jc w:val="both"/>
    </w:pPr>
    <w:rPr>
      <w:rFonts w:ascii="Calibri" w:hAnsi="Calibri" w:cs="Calibri"/>
      <w:color w:val="000000"/>
      <w:sz w:val="22"/>
      <w:szCs w:val="22"/>
      <w:lang w:val="en-US"/>
    </w:rPr>
  </w:style>
  <w:style w:type="character" w:customStyle="1" w:styleId="StandardtextChar">
    <w:name w:val="Standard text Char"/>
    <w:basedOn w:val="DefaultParagraphFont"/>
    <w:link w:val="Standardtext"/>
    <w:rsid w:val="00510ADB"/>
    <w:rPr>
      <w:rFonts w:ascii="Calibri" w:hAnsi="Calibri" w:cs="Calibri"/>
      <w:color w:val="000000"/>
      <w:sz w:val="22"/>
      <w:szCs w:val="22"/>
      <w:lang w:val="en-US"/>
    </w:rPr>
  </w:style>
  <w:style w:type="paragraph" w:customStyle="1" w:styleId="Level01">
    <w:name w:val="Level 01"/>
    <w:basedOn w:val="Heading1"/>
    <w:qFormat/>
    <w:rsid w:val="00D1206D"/>
    <w:pPr>
      <w:numPr>
        <w:numId w:val="15"/>
      </w:numPr>
    </w:pPr>
    <w:rPr>
      <w:rFonts w:cstheme="minorHAnsi"/>
      <w:b w:val="0"/>
    </w:rPr>
  </w:style>
  <w:style w:type="character" w:customStyle="1" w:styleId="Heading4Char">
    <w:name w:val="Heading 4 Char"/>
    <w:basedOn w:val="DefaultParagraphFont"/>
    <w:link w:val="Heading4"/>
    <w:rsid w:val="00D57C46"/>
    <w:rPr>
      <w:rFonts w:asciiTheme="minorHAnsi" w:hAnsiTheme="minorHAnsi"/>
      <w:b/>
      <w:bCs/>
      <w:sz w:val="22"/>
      <w:szCs w:val="28"/>
    </w:rPr>
  </w:style>
  <w:style w:type="table" w:customStyle="1" w:styleId="TableGrid4">
    <w:name w:val="Table Grid4"/>
    <w:basedOn w:val="TableNormal"/>
    <w:next w:val="TableGrid"/>
    <w:uiPriority w:val="39"/>
    <w:rsid w:val="00C91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94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2694A"/>
    <w:rPr>
      <w:rFonts w:asciiTheme="minorHAnsi" w:hAnsiTheme="minorHAnsi" w:cs="Arial"/>
      <w:b/>
      <w:bCs/>
      <w:kern w:val="32"/>
      <w:sz w:val="32"/>
      <w:szCs w:val="28"/>
    </w:rPr>
  </w:style>
  <w:style w:type="character" w:customStyle="1" w:styleId="Heading3Char">
    <w:name w:val="Heading 3 Char"/>
    <w:basedOn w:val="DefaultParagraphFont"/>
    <w:link w:val="Heading3"/>
    <w:rsid w:val="00C924F7"/>
    <w:rPr>
      <w:rFonts w:ascii="Calibri" w:hAnsi="Calibri" w:cs="Arial"/>
      <w:b/>
      <w:bCs/>
      <w:sz w:val="24"/>
      <w:szCs w:val="26"/>
    </w:rPr>
  </w:style>
  <w:style w:type="character" w:customStyle="1" w:styleId="Heading5Char">
    <w:name w:val="Heading 5 Char"/>
    <w:basedOn w:val="DefaultParagraphFont"/>
    <w:link w:val="Heading5"/>
    <w:rsid w:val="00D57C46"/>
    <w:rPr>
      <w:rFonts w:ascii="Verdana" w:hAnsi="Verdana"/>
      <w:b/>
      <w:bCs/>
      <w:i/>
      <w:iCs/>
      <w:sz w:val="26"/>
      <w:szCs w:val="26"/>
    </w:rPr>
  </w:style>
  <w:style w:type="table" w:customStyle="1" w:styleId="TableGrid2">
    <w:name w:val="Table Grid2"/>
    <w:basedOn w:val="TableNormal"/>
    <w:next w:val="TableGrid"/>
    <w:uiPriority w:val="39"/>
    <w:rsid w:val="005B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C7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C7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6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873CB"/>
    <w:pPr>
      <w:spacing w:after="100"/>
      <w:ind w:left="600"/>
    </w:pPr>
  </w:style>
  <w:style w:type="character" w:customStyle="1" w:styleId="Heading9Char">
    <w:name w:val="Heading 9 Char"/>
    <w:aliases w:val="Do not use 9 Char"/>
    <w:basedOn w:val="DefaultParagraphFont"/>
    <w:link w:val="Heading9"/>
    <w:rsid w:val="00A1008B"/>
    <w:rPr>
      <w:rFonts w:ascii="Arial" w:hAnsi="Arial" w:cs="Arial"/>
      <w:sz w:val="22"/>
      <w:szCs w:val="22"/>
    </w:rPr>
  </w:style>
  <w:style w:type="paragraph" w:styleId="TOCHeading">
    <w:name w:val="TOC Heading"/>
    <w:basedOn w:val="Heading1"/>
    <w:next w:val="Normal"/>
    <w:uiPriority w:val="39"/>
    <w:unhideWhenUsed/>
    <w:qFormat/>
    <w:rsid w:val="00BF1E29"/>
    <w:pPr>
      <w:keepLines/>
      <w:numPr>
        <w:numId w:val="0"/>
      </w:numPr>
      <w:spacing w:after="0" w:line="259" w:lineRule="auto"/>
      <w:ind w:right="0"/>
      <w:outlineLvl w:val="9"/>
    </w:pPr>
    <w:rPr>
      <w:rFonts w:asciiTheme="majorHAnsi" w:eastAsiaTheme="majorEastAsia" w:hAnsiTheme="majorHAnsi" w:cstheme="majorBidi"/>
      <w:b w:val="0"/>
      <w:bCs w:val="0"/>
      <w:color w:val="365F91" w:themeColor="accent1" w:themeShade="BF"/>
      <w:kern w:val="0"/>
      <w:szCs w:val="32"/>
      <w:lang w:val="en-US" w:eastAsia="en-US"/>
    </w:rPr>
  </w:style>
  <w:style w:type="table" w:customStyle="1" w:styleId="TableGrid7">
    <w:name w:val="Table Grid7"/>
    <w:basedOn w:val="TableNormal"/>
    <w:next w:val="TableGrid"/>
    <w:uiPriority w:val="39"/>
    <w:rsid w:val="00BF1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BF1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ro">
    <w:name w:val="Intro"/>
    <w:basedOn w:val="Normal"/>
    <w:link w:val="IntroChar"/>
    <w:qFormat/>
    <w:rsid w:val="00BF1E29"/>
    <w:pPr>
      <w:spacing w:after="120" w:line="276" w:lineRule="auto"/>
      <w:jc w:val="both"/>
    </w:pPr>
    <w:rPr>
      <w:rFonts w:asciiTheme="minorHAnsi" w:hAnsiTheme="minorHAnsi" w:cstheme="minorHAnsi"/>
      <w:sz w:val="22"/>
      <w:szCs w:val="22"/>
    </w:rPr>
  </w:style>
  <w:style w:type="character" w:customStyle="1" w:styleId="IntroChar">
    <w:name w:val="Intro Char"/>
    <w:basedOn w:val="DefaultParagraphFont"/>
    <w:link w:val="Intro"/>
    <w:rsid w:val="00BF1E29"/>
    <w:rPr>
      <w:rFonts w:asciiTheme="minorHAnsi" w:hAnsiTheme="minorHAnsi" w:cstheme="minorHAnsi"/>
      <w:sz w:val="22"/>
      <w:szCs w:val="22"/>
    </w:rPr>
  </w:style>
  <w:style w:type="paragraph" w:customStyle="1" w:styleId="default0">
    <w:name w:val="default"/>
    <w:basedOn w:val="Normal"/>
    <w:rsid w:val="00BF1E29"/>
    <w:pPr>
      <w:spacing w:before="100" w:beforeAutospacing="1" w:after="100" w:afterAutospacing="1"/>
    </w:pPr>
    <w:rPr>
      <w:rFonts w:eastAsiaTheme="minorHAnsi"/>
      <w:szCs w:val="20"/>
      <w:lang w:val="en-US" w:eastAsia="en-US"/>
    </w:rPr>
  </w:style>
  <w:style w:type="table" w:customStyle="1" w:styleId="GridTable6Colorful-Accent41">
    <w:name w:val="Grid Table 6 Colorful - Accent 41"/>
    <w:basedOn w:val="TableNormal"/>
    <w:next w:val="GridTable6Colorful-Accent4"/>
    <w:uiPriority w:val="51"/>
    <w:rsid w:val="00CB7AF6"/>
    <w:rPr>
      <w:rFonts w:ascii="Calibri" w:eastAsia="Calibri" w:hAnsi="Calibri"/>
      <w:color w:val="BF8F00"/>
      <w:sz w:val="22"/>
      <w:szCs w:val="22"/>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4">
    <w:name w:val="Grid Table 6 Colorful Accent 4"/>
    <w:basedOn w:val="TableNormal"/>
    <w:uiPriority w:val="51"/>
    <w:rsid w:val="00CB7AF6"/>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Level04">
    <w:name w:val="Level 04"/>
    <w:basedOn w:val="Heading4"/>
    <w:qFormat/>
    <w:rsid w:val="00F15ED6"/>
    <w:pPr>
      <w:numPr>
        <w:numId w:val="17"/>
      </w:numPr>
      <w:tabs>
        <w:tab w:val="left" w:pos="1134"/>
        <w:tab w:val="num" w:pos="6354"/>
      </w:tabs>
    </w:pPr>
    <w:rPr>
      <w:rFonts w:cs="Calibri"/>
      <w:b w:val="0"/>
      <w:i/>
      <w:szCs w:val="32"/>
    </w:rPr>
  </w:style>
  <w:style w:type="paragraph" w:customStyle="1" w:styleId="TextBody">
    <w:name w:val="Text Body"/>
    <w:basedOn w:val="Normal"/>
    <w:link w:val="TextBodyChar"/>
    <w:uiPriority w:val="99"/>
    <w:rsid w:val="00B53D7E"/>
    <w:pPr>
      <w:spacing w:before="120" w:after="120"/>
      <w:ind w:left="680"/>
      <w:jc w:val="both"/>
    </w:pPr>
    <w:rPr>
      <w:lang w:val="en-US" w:eastAsia="en-US"/>
    </w:rPr>
  </w:style>
  <w:style w:type="character" w:customStyle="1" w:styleId="TextBodyChar">
    <w:name w:val="Text Body Char"/>
    <w:link w:val="TextBody"/>
    <w:uiPriority w:val="99"/>
    <w:locked/>
    <w:rsid w:val="00B53D7E"/>
    <w:rPr>
      <w:rFonts w:ascii="Verdana" w:hAnsi="Verdana"/>
      <w:szCs w:val="24"/>
      <w:lang w:val="en-US" w:eastAsia="en-US"/>
    </w:rPr>
  </w:style>
  <w:style w:type="table" w:styleId="LightList">
    <w:name w:val="Light List"/>
    <w:basedOn w:val="TableNormal"/>
    <w:uiPriority w:val="61"/>
    <w:rsid w:val="00F85342"/>
    <w:rPr>
      <w:rFonts w:asciiTheme="minorHAnsi" w:eastAsia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Light">
    <w:name w:val="Grid Table Light"/>
    <w:basedOn w:val="TableNormal"/>
    <w:uiPriority w:val="40"/>
    <w:rsid w:val="005F488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t1">
    <w:name w:val="st1"/>
    <w:basedOn w:val="DefaultParagraphFont"/>
    <w:rsid w:val="003F7FAB"/>
  </w:style>
  <w:style w:type="paragraph" w:customStyle="1" w:styleId="Level1altL1">
    <w:name w:val="§ Level 1 (alt L1)"/>
    <w:basedOn w:val="Normal"/>
    <w:rsid w:val="00F70D8F"/>
    <w:pPr>
      <w:numPr>
        <w:numId w:val="21"/>
      </w:numPr>
      <w:tabs>
        <w:tab w:val="clear" w:pos="360"/>
        <w:tab w:val="left" w:pos="1418"/>
      </w:tabs>
      <w:spacing w:after="240"/>
      <w:jc w:val="both"/>
    </w:pPr>
    <w:rPr>
      <w:rFonts w:ascii="Times New Roman" w:hAnsi="Times New Roman"/>
      <w:sz w:val="22"/>
      <w:szCs w:val="20"/>
      <w:lang w:eastAsia="x-none"/>
    </w:rPr>
  </w:style>
  <w:style w:type="paragraph" w:customStyle="1" w:styleId="Level2altL2">
    <w:name w:val="§ Level 2 (alt L2)"/>
    <w:basedOn w:val="Level1altL1"/>
    <w:link w:val="Level2altL2Char"/>
    <w:rsid w:val="00F70D8F"/>
    <w:pPr>
      <w:numPr>
        <w:ilvl w:val="1"/>
      </w:numPr>
    </w:pPr>
  </w:style>
  <w:style w:type="character" w:customStyle="1" w:styleId="Level2altL2Char">
    <w:name w:val="§ Level 2 (alt L2) Char"/>
    <w:link w:val="Level2altL2"/>
    <w:rsid w:val="00F70D8F"/>
    <w:rPr>
      <w:sz w:val="22"/>
      <w:lang w:eastAsia="x-none"/>
    </w:rPr>
  </w:style>
  <w:style w:type="paragraph" w:customStyle="1" w:styleId="IcaoSoDLevel2">
    <w:name w:val="IcaoSoD § Level2"/>
    <w:basedOn w:val="Normal"/>
    <w:qFormat/>
    <w:rsid w:val="00740295"/>
    <w:pPr>
      <w:tabs>
        <w:tab w:val="num" w:pos="720"/>
        <w:tab w:val="left" w:pos="1418"/>
      </w:tabs>
      <w:spacing w:after="240"/>
      <w:jc w:val="both"/>
    </w:pPr>
    <w:rPr>
      <w:rFonts w:ascii="Times New Roman" w:hAnsi="Times New Roman"/>
      <w:sz w:val="22"/>
      <w:szCs w:val="20"/>
      <w:lang w:eastAsia="en-US"/>
    </w:rPr>
  </w:style>
  <w:style w:type="paragraph" w:styleId="NormalWeb">
    <w:name w:val="Normal (Web)"/>
    <w:basedOn w:val="Normal"/>
    <w:uiPriority w:val="99"/>
    <w:unhideWhenUsed/>
    <w:rsid w:val="00CB7FAD"/>
    <w:pPr>
      <w:spacing w:before="100" w:beforeAutospacing="1" w:after="100" w:afterAutospacing="1"/>
    </w:pPr>
    <w:rPr>
      <w:rFonts w:ascii="Times New Roman" w:eastAsiaTheme="minorEastAsia" w:hAnsi="Times New Roman"/>
      <w:sz w:val="24"/>
    </w:rPr>
  </w:style>
  <w:style w:type="character" w:customStyle="1" w:styleId="UnresolvedMention1">
    <w:name w:val="Unresolved Mention1"/>
    <w:basedOn w:val="DefaultParagraphFont"/>
    <w:uiPriority w:val="99"/>
    <w:semiHidden/>
    <w:unhideWhenUsed/>
    <w:rsid w:val="00513C6A"/>
    <w:rPr>
      <w:color w:val="605E5C"/>
      <w:shd w:val="clear" w:color="auto" w:fill="E1DFDD"/>
    </w:rPr>
  </w:style>
  <w:style w:type="table" w:styleId="GridTable4">
    <w:name w:val="Grid Table 4"/>
    <w:basedOn w:val="TableNormal"/>
    <w:uiPriority w:val="49"/>
    <w:rsid w:val="00BF5248"/>
    <w:rPr>
      <w:rFonts w:asciiTheme="minorHAnsi" w:eastAsiaTheme="minorHAnsi" w:hAnsiTheme="minorHAnsi" w:cstheme="minorBidi"/>
      <w:sz w:val="22"/>
      <w:szCs w:val="22"/>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Body">
    <w:name w:val="Table Body"/>
    <w:basedOn w:val="Normal"/>
    <w:rsid w:val="003239EB"/>
    <w:pPr>
      <w:spacing w:line="255" w:lineRule="atLeast"/>
    </w:pPr>
    <w:rPr>
      <w:rFonts w:ascii="Calibri" w:hAnsi="Calibri"/>
      <w:color w:val="1E3067"/>
      <w:sz w:val="18"/>
      <w:szCs w:val="22"/>
      <w:lang w:eastAsia="en-US"/>
    </w:rPr>
  </w:style>
  <w:style w:type="character" w:customStyle="1" w:styleId="UnresolvedMention2">
    <w:name w:val="Unresolved Mention2"/>
    <w:basedOn w:val="DefaultParagraphFont"/>
    <w:uiPriority w:val="99"/>
    <w:semiHidden/>
    <w:unhideWhenUsed/>
    <w:rsid w:val="00D04BCE"/>
    <w:rPr>
      <w:color w:val="605E5C"/>
      <w:shd w:val="clear" w:color="auto" w:fill="E1DFDD"/>
    </w:rPr>
  </w:style>
  <w:style w:type="paragraph" w:customStyle="1" w:styleId="IcaoEurNatsection">
    <w:name w:val="IcaoEurNat_section"/>
    <w:qFormat/>
    <w:rsid w:val="00621FD5"/>
    <w:pPr>
      <w:keepNext/>
      <w:numPr>
        <w:numId w:val="37"/>
      </w:numPr>
      <w:spacing w:before="240" w:after="240"/>
      <w:outlineLvl w:val="0"/>
    </w:pPr>
    <w:rPr>
      <w:b/>
      <w:sz w:val="22"/>
      <w:lang w:val="en-CA" w:eastAsia="en-US"/>
    </w:rPr>
  </w:style>
  <w:style w:type="paragraph" w:customStyle="1" w:styleId="IcaoEurNatPara">
    <w:name w:val="IcaoEurNat_Para"/>
    <w:qFormat/>
    <w:rsid w:val="00621FD5"/>
    <w:pPr>
      <w:numPr>
        <w:ilvl w:val="1"/>
        <w:numId w:val="22"/>
      </w:numPr>
      <w:tabs>
        <w:tab w:val="left" w:pos="1418"/>
      </w:tabs>
      <w:spacing w:before="240" w:after="120"/>
      <w:jc w:val="both"/>
    </w:pPr>
    <w:rPr>
      <w:sz w:val="22"/>
      <w:lang w:val="en-CA" w:eastAsia="en-US"/>
    </w:rPr>
  </w:style>
  <w:style w:type="paragraph" w:customStyle="1" w:styleId="IcaoEurNatSubParaabc">
    <w:name w:val="IcaoEurNat_SubPara_a)b)c)"/>
    <w:qFormat/>
    <w:rsid w:val="00621FD5"/>
    <w:pPr>
      <w:spacing w:before="120" w:after="120"/>
      <w:jc w:val="both"/>
    </w:pPr>
    <w:rPr>
      <w:rFonts w:eastAsia="Calibri"/>
      <w:sz w:val="22"/>
      <w:szCs w:val="22"/>
      <w:lang w:val="en-CA" w:eastAsia="en-US"/>
    </w:rPr>
  </w:style>
  <w:style w:type="paragraph" w:customStyle="1" w:styleId="IcaoEurNatSubSubParaiiiiii">
    <w:name w:val="IcaoEurNat_SubSubPara_i.ii.iii."/>
    <w:qFormat/>
    <w:rsid w:val="00621FD5"/>
    <w:pPr>
      <w:numPr>
        <w:ilvl w:val="3"/>
        <w:numId w:val="22"/>
      </w:numPr>
      <w:spacing w:before="120" w:after="120"/>
      <w:jc w:val="both"/>
    </w:pPr>
    <w:rPr>
      <w:rFonts w:eastAsia="Calibri"/>
      <w:sz w:val="22"/>
      <w:szCs w:val="22"/>
      <w:lang w:val="en-CA" w:eastAsia="en-US"/>
    </w:rPr>
  </w:style>
  <w:style w:type="paragraph" w:customStyle="1" w:styleId="StdVOR">
    <w:name w:val="Std+VOR"/>
    <w:basedOn w:val="Normal"/>
    <w:qFormat/>
    <w:rsid w:val="00A95BBF"/>
    <w:pPr>
      <w:spacing w:before="345" w:after="345" w:line="300" w:lineRule="auto"/>
    </w:pPr>
    <w:rPr>
      <w:rFonts w:asciiTheme="minorHAnsi" w:eastAsiaTheme="minorHAnsi" w:hAnsiTheme="minorHAnsi" w:cstheme="minorBidi"/>
      <w:sz w:val="23"/>
      <w:szCs w:val="23"/>
      <w:lang w:val="de-DE" w:eastAsia="en-US"/>
      <w14:numForm w14:val="lining"/>
    </w:rPr>
  </w:style>
  <w:style w:type="paragraph" w:customStyle="1" w:styleId="1nummeriert">
    <w:name w:val="Ü1 nummeriert"/>
    <w:basedOn w:val="Heading1"/>
    <w:next w:val="Normal"/>
    <w:uiPriority w:val="2"/>
    <w:rsid w:val="00A95BBF"/>
    <w:pPr>
      <w:keepLines/>
      <w:numPr>
        <w:numId w:val="23"/>
      </w:numPr>
      <w:spacing w:before="0" w:after="690" w:line="690" w:lineRule="exact"/>
      <w:ind w:right="0"/>
    </w:pPr>
    <w:rPr>
      <w:rFonts w:asciiTheme="majorHAnsi" w:eastAsiaTheme="majorEastAsia" w:hAnsiTheme="majorHAnsi" w:cstheme="majorBidi"/>
      <w:b w:val="0"/>
      <w:bCs w:val="0"/>
      <w:color w:val="1F497D" w:themeColor="text2"/>
      <w:kern w:val="0"/>
      <w:sz w:val="56"/>
      <w:szCs w:val="32"/>
      <w:lang w:val="de-DE" w:eastAsia="en-US"/>
      <w14:numForm w14:val="lining"/>
    </w:rPr>
  </w:style>
  <w:style w:type="paragraph" w:customStyle="1" w:styleId="2nummeriert">
    <w:name w:val="Ü2 nummeriert"/>
    <w:basedOn w:val="Heading2"/>
    <w:next w:val="Normal"/>
    <w:uiPriority w:val="2"/>
    <w:qFormat/>
    <w:rsid w:val="00A95BBF"/>
    <w:pPr>
      <w:keepLines/>
      <w:numPr>
        <w:numId w:val="23"/>
      </w:numPr>
      <w:spacing w:before="690" w:after="345" w:line="300" w:lineRule="auto"/>
      <w:jc w:val="left"/>
    </w:pPr>
    <w:rPr>
      <w:rFonts w:asciiTheme="majorHAnsi" w:eastAsiaTheme="majorEastAsia" w:hAnsiTheme="majorHAnsi" w:cstheme="majorBidi"/>
      <w:bCs w:val="0"/>
      <w:sz w:val="30"/>
      <w:szCs w:val="26"/>
      <w:lang w:val="de-DE" w:eastAsia="en-US"/>
      <w14:numForm w14:val="lining"/>
    </w:rPr>
  </w:style>
  <w:style w:type="paragraph" w:customStyle="1" w:styleId="3nummeriert">
    <w:name w:val="Ü3 nummeriert"/>
    <w:basedOn w:val="Heading3"/>
    <w:next w:val="Normal"/>
    <w:uiPriority w:val="2"/>
    <w:qFormat/>
    <w:rsid w:val="00A95BBF"/>
    <w:pPr>
      <w:keepLines/>
      <w:numPr>
        <w:numId w:val="23"/>
      </w:numPr>
      <w:spacing w:before="690" w:after="0" w:line="300" w:lineRule="auto"/>
      <w:jc w:val="left"/>
    </w:pPr>
    <w:rPr>
      <w:rFonts w:asciiTheme="majorHAnsi" w:eastAsiaTheme="majorEastAsia" w:hAnsiTheme="majorHAnsi" w:cstheme="majorBidi"/>
      <w:bCs w:val="0"/>
      <w:sz w:val="25"/>
      <w:szCs w:val="24"/>
      <w:lang w:val="de-DE" w:eastAsia="en-US"/>
      <w14:numForm w14:val="lining"/>
    </w:rPr>
  </w:style>
  <w:style w:type="paragraph" w:customStyle="1" w:styleId="4nummeriert">
    <w:name w:val="Ü4 nummeriert"/>
    <w:basedOn w:val="Heading4"/>
    <w:next w:val="Normal"/>
    <w:uiPriority w:val="2"/>
    <w:rsid w:val="00A95BBF"/>
    <w:pPr>
      <w:keepLines/>
      <w:numPr>
        <w:numId w:val="23"/>
      </w:numPr>
      <w:spacing w:before="690" w:after="0" w:line="300" w:lineRule="auto"/>
      <w:jc w:val="left"/>
    </w:pPr>
    <w:rPr>
      <w:rFonts w:asciiTheme="majorHAnsi" w:eastAsiaTheme="majorEastAsia" w:hAnsiTheme="majorHAnsi" w:cstheme="majorBidi"/>
      <w:iCs/>
      <w:sz w:val="23"/>
      <w:szCs w:val="24"/>
      <w:lang w:val="de-DE" w:eastAsia="en-US"/>
      <w14:numForm w14:val="lining"/>
    </w:rPr>
  </w:style>
  <w:style w:type="paragraph" w:customStyle="1" w:styleId="5nummeriert">
    <w:name w:val="Ü5 nummeriert"/>
    <w:basedOn w:val="Heading5"/>
    <w:next w:val="Normal"/>
    <w:uiPriority w:val="2"/>
    <w:rsid w:val="00A95BBF"/>
    <w:pPr>
      <w:keepNext/>
      <w:keepLines/>
      <w:numPr>
        <w:numId w:val="23"/>
      </w:numPr>
      <w:spacing w:before="690" w:after="0" w:line="276" w:lineRule="auto"/>
    </w:pPr>
    <w:rPr>
      <w:rFonts w:asciiTheme="majorHAnsi" w:eastAsiaTheme="majorEastAsia" w:hAnsiTheme="majorHAnsi" w:cstheme="majorBidi"/>
      <w:i w:val="0"/>
      <w:iCs w:val="0"/>
      <w:color w:val="404040" w:themeColor="text1" w:themeTint="BF"/>
      <w:sz w:val="24"/>
      <w:szCs w:val="24"/>
      <w:lang w:val="de-DE" w:eastAsia="en-US"/>
      <w14:numForm w14:val="lining"/>
    </w:rPr>
  </w:style>
  <w:style w:type="numbering" w:customStyle="1" w:styleId="ATberschriftennummeriert">
    <w:name w:val="AT Überschriften nummeriert"/>
    <w:uiPriority w:val="99"/>
    <w:rsid w:val="00A95BBF"/>
    <w:pPr>
      <w:numPr>
        <w:numId w:val="23"/>
      </w:numPr>
    </w:pPr>
  </w:style>
  <w:style w:type="paragraph" w:customStyle="1" w:styleId="TableParagraph">
    <w:name w:val="Table Paragraph"/>
    <w:basedOn w:val="Normal"/>
    <w:uiPriority w:val="1"/>
    <w:qFormat/>
    <w:rsid w:val="00981D37"/>
    <w:pPr>
      <w:widowControl w:val="0"/>
      <w:autoSpaceDE w:val="0"/>
      <w:autoSpaceDN w:val="0"/>
      <w:spacing w:before="143"/>
    </w:pPr>
    <w:rPr>
      <w:rFonts w:ascii="Arial" w:eastAsia="Arial" w:hAnsi="Arial" w:cs="Arial"/>
      <w:sz w:val="22"/>
      <w:szCs w:val="22"/>
      <w:lang w:val="en-US" w:eastAsia="en-US"/>
    </w:rPr>
  </w:style>
  <w:style w:type="character" w:styleId="UnresolvedMention">
    <w:name w:val="Unresolved Mention"/>
    <w:basedOn w:val="DefaultParagraphFont"/>
    <w:uiPriority w:val="99"/>
    <w:semiHidden/>
    <w:unhideWhenUsed/>
    <w:rsid w:val="00BC5BE3"/>
    <w:rPr>
      <w:color w:val="605E5C"/>
      <w:shd w:val="clear" w:color="auto" w:fill="E1DFDD"/>
    </w:rPr>
  </w:style>
  <w:style w:type="paragraph" w:customStyle="1" w:styleId="BOLDCAPSCENTERED">
    <w:name w:val="BOLD CAPS CENTERED"/>
    <w:basedOn w:val="Normal"/>
    <w:rsid w:val="00A24DF9"/>
    <w:pPr>
      <w:widowControl w:val="0"/>
      <w:tabs>
        <w:tab w:val="left" w:pos="1080"/>
        <w:tab w:val="left" w:pos="1440"/>
        <w:tab w:val="left" w:pos="1800"/>
        <w:tab w:val="left" w:pos="2160"/>
      </w:tabs>
      <w:spacing w:line="240" w:lineRule="exact"/>
      <w:jc w:val="center"/>
    </w:pPr>
    <w:rPr>
      <w:rFonts w:ascii="Arial" w:eastAsia="SimSun" w:hAnsi="Arial"/>
      <w:b/>
      <w:caps/>
      <w:sz w:val="18"/>
      <w:szCs w:val="20"/>
      <w:lang w:eastAsia="zh-CN"/>
    </w:rPr>
  </w:style>
  <w:style w:type="paragraph" w:styleId="EndnoteText">
    <w:name w:val="endnote text"/>
    <w:basedOn w:val="Normal"/>
    <w:link w:val="EndnoteTextChar"/>
    <w:semiHidden/>
    <w:unhideWhenUsed/>
    <w:rsid w:val="004400CC"/>
    <w:rPr>
      <w:szCs w:val="20"/>
    </w:rPr>
  </w:style>
  <w:style w:type="character" w:customStyle="1" w:styleId="EndnoteTextChar">
    <w:name w:val="Endnote Text Char"/>
    <w:basedOn w:val="DefaultParagraphFont"/>
    <w:link w:val="EndnoteText"/>
    <w:semiHidden/>
    <w:rsid w:val="004400CC"/>
    <w:rPr>
      <w:rFonts w:ascii="Verdana" w:hAnsi="Verdana"/>
    </w:rPr>
  </w:style>
  <w:style w:type="character" w:styleId="EndnoteReference">
    <w:name w:val="endnote reference"/>
    <w:basedOn w:val="DefaultParagraphFont"/>
    <w:semiHidden/>
    <w:unhideWhenUsed/>
    <w:rsid w:val="004400CC"/>
    <w:rPr>
      <w:vertAlign w:val="superscript"/>
    </w:rPr>
  </w:style>
  <w:style w:type="numbering" w:customStyle="1" w:styleId="Style1">
    <w:name w:val="Style1"/>
    <w:uiPriority w:val="99"/>
    <w:rsid w:val="00320FCB"/>
    <w:pPr>
      <w:numPr>
        <w:numId w:val="32"/>
      </w:numPr>
    </w:pPr>
  </w:style>
  <w:style w:type="paragraph" w:customStyle="1" w:styleId="BoldCentered">
    <w:name w:val="Bold Centered"/>
    <w:basedOn w:val="Normal"/>
    <w:rsid w:val="001B1802"/>
    <w:pPr>
      <w:widowControl w:val="0"/>
      <w:tabs>
        <w:tab w:val="left" w:pos="1080"/>
        <w:tab w:val="left" w:pos="1440"/>
        <w:tab w:val="left" w:pos="1800"/>
        <w:tab w:val="left" w:pos="2160"/>
      </w:tabs>
      <w:spacing w:line="240" w:lineRule="exact"/>
      <w:jc w:val="center"/>
    </w:pPr>
    <w:rPr>
      <w:rFonts w:ascii="Arial" w:eastAsia="SimSun" w:hAnsi="Arial"/>
      <w:b/>
      <w:sz w:val="18"/>
      <w:szCs w:val="20"/>
      <w:lang w:eastAsia="zh-CN"/>
    </w:rPr>
  </w:style>
  <w:style w:type="paragraph" w:customStyle="1" w:styleId="Indent-a">
    <w:name w:val="Indent-a)"/>
    <w:basedOn w:val="Normal"/>
    <w:rsid w:val="001B1802"/>
    <w:pPr>
      <w:widowControl w:val="0"/>
      <w:tabs>
        <w:tab w:val="left" w:pos="1080"/>
        <w:tab w:val="left" w:pos="1440"/>
        <w:tab w:val="left" w:pos="1800"/>
        <w:tab w:val="left" w:pos="2160"/>
      </w:tabs>
      <w:spacing w:line="240" w:lineRule="exact"/>
      <w:ind w:left="1440" w:hanging="1440"/>
      <w:jc w:val="both"/>
    </w:pPr>
    <w:rPr>
      <w:rFonts w:ascii="Arial" w:eastAsia="SimSun" w:hAnsi="Arial"/>
      <w:sz w:val="18"/>
      <w:szCs w:val="20"/>
      <w:lang w:eastAsia="en-US"/>
    </w:rPr>
  </w:style>
  <w:style w:type="table" w:styleId="ListTable3-Accent1">
    <w:name w:val="List Table 3 Accent 1"/>
    <w:basedOn w:val="TableNormal"/>
    <w:uiPriority w:val="48"/>
    <w:rsid w:val="00954757"/>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
    <w:name w:val="List Table 3"/>
    <w:basedOn w:val="TableNormal"/>
    <w:uiPriority w:val="48"/>
    <w:rsid w:val="006478D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207">
      <w:bodyDiv w:val="1"/>
      <w:marLeft w:val="0"/>
      <w:marRight w:val="0"/>
      <w:marTop w:val="0"/>
      <w:marBottom w:val="0"/>
      <w:divBdr>
        <w:top w:val="none" w:sz="0" w:space="0" w:color="auto"/>
        <w:left w:val="none" w:sz="0" w:space="0" w:color="auto"/>
        <w:bottom w:val="none" w:sz="0" w:space="0" w:color="auto"/>
        <w:right w:val="none" w:sz="0" w:space="0" w:color="auto"/>
      </w:divBdr>
    </w:div>
    <w:div w:id="3361509">
      <w:bodyDiv w:val="1"/>
      <w:marLeft w:val="0"/>
      <w:marRight w:val="0"/>
      <w:marTop w:val="0"/>
      <w:marBottom w:val="0"/>
      <w:divBdr>
        <w:top w:val="none" w:sz="0" w:space="0" w:color="auto"/>
        <w:left w:val="none" w:sz="0" w:space="0" w:color="auto"/>
        <w:bottom w:val="none" w:sz="0" w:space="0" w:color="auto"/>
        <w:right w:val="none" w:sz="0" w:space="0" w:color="auto"/>
      </w:divBdr>
    </w:div>
    <w:div w:id="3747224">
      <w:bodyDiv w:val="1"/>
      <w:marLeft w:val="0"/>
      <w:marRight w:val="0"/>
      <w:marTop w:val="0"/>
      <w:marBottom w:val="0"/>
      <w:divBdr>
        <w:top w:val="none" w:sz="0" w:space="0" w:color="auto"/>
        <w:left w:val="none" w:sz="0" w:space="0" w:color="auto"/>
        <w:bottom w:val="none" w:sz="0" w:space="0" w:color="auto"/>
        <w:right w:val="none" w:sz="0" w:space="0" w:color="auto"/>
      </w:divBdr>
    </w:div>
    <w:div w:id="4289751">
      <w:bodyDiv w:val="1"/>
      <w:marLeft w:val="0"/>
      <w:marRight w:val="0"/>
      <w:marTop w:val="0"/>
      <w:marBottom w:val="0"/>
      <w:divBdr>
        <w:top w:val="none" w:sz="0" w:space="0" w:color="auto"/>
        <w:left w:val="none" w:sz="0" w:space="0" w:color="auto"/>
        <w:bottom w:val="none" w:sz="0" w:space="0" w:color="auto"/>
        <w:right w:val="none" w:sz="0" w:space="0" w:color="auto"/>
      </w:divBdr>
    </w:div>
    <w:div w:id="5060679">
      <w:bodyDiv w:val="1"/>
      <w:marLeft w:val="0"/>
      <w:marRight w:val="0"/>
      <w:marTop w:val="0"/>
      <w:marBottom w:val="0"/>
      <w:divBdr>
        <w:top w:val="none" w:sz="0" w:space="0" w:color="auto"/>
        <w:left w:val="none" w:sz="0" w:space="0" w:color="auto"/>
        <w:bottom w:val="none" w:sz="0" w:space="0" w:color="auto"/>
        <w:right w:val="none" w:sz="0" w:space="0" w:color="auto"/>
      </w:divBdr>
    </w:div>
    <w:div w:id="5645068">
      <w:bodyDiv w:val="1"/>
      <w:marLeft w:val="0"/>
      <w:marRight w:val="0"/>
      <w:marTop w:val="0"/>
      <w:marBottom w:val="0"/>
      <w:divBdr>
        <w:top w:val="none" w:sz="0" w:space="0" w:color="auto"/>
        <w:left w:val="none" w:sz="0" w:space="0" w:color="auto"/>
        <w:bottom w:val="none" w:sz="0" w:space="0" w:color="auto"/>
        <w:right w:val="none" w:sz="0" w:space="0" w:color="auto"/>
      </w:divBdr>
    </w:div>
    <w:div w:id="6517998">
      <w:bodyDiv w:val="1"/>
      <w:marLeft w:val="0"/>
      <w:marRight w:val="0"/>
      <w:marTop w:val="0"/>
      <w:marBottom w:val="0"/>
      <w:divBdr>
        <w:top w:val="none" w:sz="0" w:space="0" w:color="auto"/>
        <w:left w:val="none" w:sz="0" w:space="0" w:color="auto"/>
        <w:bottom w:val="none" w:sz="0" w:space="0" w:color="auto"/>
        <w:right w:val="none" w:sz="0" w:space="0" w:color="auto"/>
      </w:divBdr>
    </w:div>
    <w:div w:id="11688931">
      <w:bodyDiv w:val="1"/>
      <w:marLeft w:val="0"/>
      <w:marRight w:val="0"/>
      <w:marTop w:val="0"/>
      <w:marBottom w:val="0"/>
      <w:divBdr>
        <w:top w:val="none" w:sz="0" w:space="0" w:color="auto"/>
        <w:left w:val="none" w:sz="0" w:space="0" w:color="auto"/>
        <w:bottom w:val="none" w:sz="0" w:space="0" w:color="auto"/>
        <w:right w:val="none" w:sz="0" w:space="0" w:color="auto"/>
      </w:divBdr>
    </w:div>
    <w:div w:id="21901812">
      <w:bodyDiv w:val="1"/>
      <w:marLeft w:val="0"/>
      <w:marRight w:val="0"/>
      <w:marTop w:val="0"/>
      <w:marBottom w:val="0"/>
      <w:divBdr>
        <w:top w:val="none" w:sz="0" w:space="0" w:color="auto"/>
        <w:left w:val="none" w:sz="0" w:space="0" w:color="auto"/>
        <w:bottom w:val="none" w:sz="0" w:space="0" w:color="auto"/>
        <w:right w:val="none" w:sz="0" w:space="0" w:color="auto"/>
      </w:divBdr>
    </w:div>
    <w:div w:id="22288487">
      <w:bodyDiv w:val="1"/>
      <w:marLeft w:val="0"/>
      <w:marRight w:val="0"/>
      <w:marTop w:val="0"/>
      <w:marBottom w:val="0"/>
      <w:divBdr>
        <w:top w:val="none" w:sz="0" w:space="0" w:color="auto"/>
        <w:left w:val="none" w:sz="0" w:space="0" w:color="auto"/>
        <w:bottom w:val="none" w:sz="0" w:space="0" w:color="auto"/>
        <w:right w:val="none" w:sz="0" w:space="0" w:color="auto"/>
      </w:divBdr>
    </w:div>
    <w:div w:id="26178161">
      <w:bodyDiv w:val="1"/>
      <w:marLeft w:val="0"/>
      <w:marRight w:val="0"/>
      <w:marTop w:val="0"/>
      <w:marBottom w:val="0"/>
      <w:divBdr>
        <w:top w:val="none" w:sz="0" w:space="0" w:color="auto"/>
        <w:left w:val="none" w:sz="0" w:space="0" w:color="auto"/>
        <w:bottom w:val="none" w:sz="0" w:space="0" w:color="auto"/>
        <w:right w:val="none" w:sz="0" w:space="0" w:color="auto"/>
      </w:divBdr>
    </w:div>
    <w:div w:id="26374779">
      <w:bodyDiv w:val="1"/>
      <w:marLeft w:val="0"/>
      <w:marRight w:val="0"/>
      <w:marTop w:val="0"/>
      <w:marBottom w:val="0"/>
      <w:divBdr>
        <w:top w:val="none" w:sz="0" w:space="0" w:color="auto"/>
        <w:left w:val="none" w:sz="0" w:space="0" w:color="auto"/>
        <w:bottom w:val="none" w:sz="0" w:space="0" w:color="auto"/>
        <w:right w:val="none" w:sz="0" w:space="0" w:color="auto"/>
      </w:divBdr>
    </w:div>
    <w:div w:id="29307672">
      <w:bodyDiv w:val="1"/>
      <w:marLeft w:val="0"/>
      <w:marRight w:val="0"/>
      <w:marTop w:val="0"/>
      <w:marBottom w:val="0"/>
      <w:divBdr>
        <w:top w:val="none" w:sz="0" w:space="0" w:color="auto"/>
        <w:left w:val="none" w:sz="0" w:space="0" w:color="auto"/>
        <w:bottom w:val="none" w:sz="0" w:space="0" w:color="auto"/>
        <w:right w:val="none" w:sz="0" w:space="0" w:color="auto"/>
      </w:divBdr>
    </w:div>
    <w:div w:id="29958697">
      <w:bodyDiv w:val="1"/>
      <w:marLeft w:val="0"/>
      <w:marRight w:val="0"/>
      <w:marTop w:val="0"/>
      <w:marBottom w:val="0"/>
      <w:divBdr>
        <w:top w:val="none" w:sz="0" w:space="0" w:color="auto"/>
        <w:left w:val="none" w:sz="0" w:space="0" w:color="auto"/>
        <w:bottom w:val="none" w:sz="0" w:space="0" w:color="auto"/>
        <w:right w:val="none" w:sz="0" w:space="0" w:color="auto"/>
      </w:divBdr>
    </w:div>
    <w:div w:id="31267478">
      <w:bodyDiv w:val="1"/>
      <w:marLeft w:val="0"/>
      <w:marRight w:val="0"/>
      <w:marTop w:val="0"/>
      <w:marBottom w:val="0"/>
      <w:divBdr>
        <w:top w:val="none" w:sz="0" w:space="0" w:color="auto"/>
        <w:left w:val="none" w:sz="0" w:space="0" w:color="auto"/>
        <w:bottom w:val="none" w:sz="0" w:space="0" w:color="auto"/>
        <w:right w:val="none" w:sz="0" w:space="0" w:color="auto"/>
      </w:divBdr>
    </w:div>
    <w:div w:id="35324076">
      <w:bodyDiv w:val="1"/>
      <w:marLeft w:val="0"/>
      <w:marRight w:val="0"/>
      <w:marTop w:val="0"/>
      <w:marBottom w:val="0"/>
      <w:divBdr>
        <w:top w:val="none" w:sz="0" w:space="0" w:color="auto"/>
        <w:left w:val="none" w:sz="0" w:space="0" w:color="auto"/>
        <w:bottom w:val="none" w:sz="0" w:space="0" w:color="auto"/>
        <w:right w:val="none" w:sz="0" w:space="0" w:color="auto"/>
      </w:divBdr>
    </w:div>
    <w:div w:id="35854329">
      <w:bodyDiv w:val="1"/>
      <w:marLeft w:val="0"/>
      <w:marRight w:val="0"/>
      <w:marTop w:val="0"/>
      <w:marBottom w:val="0"/>
      <w:divBdr>
        <w:top w:val="none" w:sz="0" w:space="0" w:color="auto"/>
        <w:left w:val="none" w:sz="0" w:space="0" w:color="auto"/>
        <w:bottom w:val="none" w:sz="0" w:space="0" w:color="auto"/>
        <w:right w:val="none" w:sz="0" w:space="0" w:color="auto"/>
      </w:divBdr>
    </w:div>
    <w:div w:id="37946382">
      <w:bodyDiv w:val="1"/>
      <w:marLeft w:val="0"/>
      <w:marRight w:val="0"/>
      <w:marTop w:val="0"/>
      <w:marBottom w:val="0"/>
      <w:divBdr>
        <w:top w:val="none" w:sz="0" w:space="0" w:color="auto"/>
        <w:left w:val="none" w:sz="0" w:space="0" w:color="auto"/>
        <w:bottom w:val="none" w:sz="0" w:space="0" w:color="auto"/>
        <w:right w:val="none" w:sz="0" w:space="0" w:color="auto"/>
      </w:divBdr>
    </w:div>
    <w:div w:id="38939386">
      <w:bodyDiv w:val="1"/>
      <w:marLeft w:val="0"/>
      <w:marRight w:val="0"/>
      <w:marTop w:val="0"/>
      <w:marBottom w:val="0"/>
      <w:divBdr>
        <w:top w:val="none" w:sz="0" w:space="0" w:color="auto"/>
        <w:left w:val="none" w:sz="0" w:space="0" w:color="auto"/>
        <w:bottom w:val="none" w:sz="0" w:space="0" w:color="auto"/>
        <w:right w:val="none" w:sz="0" w:space="0" w:color="auto"/>
      </w:divBdr>
    </w:div>
    <w:div w:id="43991243">
      <w:bodyDiv w:val="1"/>
      <w:marLeft w:val="0"/>
      <w:marRight w:val="0"/>
      <w:marTop w:val="0"/>
      <w:marBottom w:val="0"/>
      <w:divBdr>
        <w:top w:val="none" w:sz="0" w:space="0" w:color="auto"/>
        <w:left w:val="none" w:sz="0" w:space="0" w:color="auto"/>
        <w:bottom w:val="none" w:sz="0" w:space="0" w:color="auto"/>
        <w:right w:val="none" w:sz="0" w:space="0" w:color="auto"/>
      </w:divBdr>
    </w:div>
    <w:div w:id="61566781">
      <w:bodyDiv w:val="1"/>
      <w:marLeft w:val="0"/>
      <w:marRight w:val="0"/>
      <w:marTop w:val="0"/>
      <w:marBottom w:val="0"/>
      <w:divBdr>
        <w:top w:val="none" w:sz="0" w:space="0" w:color="auto"/>
        <w:left w:val="none" w:sz="0" w:space="0" w:color="auto"/>
        <w:bottom w:val="none" w:sz="0" w:space="0" w:color="auto"/>
        <w:right w:val="none" w:sz="0" w:space="0" w:color="auto"/>
      </w:divBdr>
    </w:div>
    <w:div w:id="63380829">
      <w:bodyDiv w:val="1"/>
      <w:marLeft w:val="0"/>
      <w:marRight w:val="0"/>
      <w:marTop w:val="0"/>
      <w:marBottom w:val="0"/>
      <w:divBdr>
        <w:top w:val="none" w:sz="0" w:space="0" w:color="auto"/>
        <w:left w:val="none" w:sz="0" w:space="0" w:color="auto"/>
        <w:bottom w:val="none" w:sz="0" w:space="0" w:color="auto"/>
        <w:right w:val="none" w:sz="0" w:space="0" w:color="auto"/>
      </w:divBdr>
    </w:div>
    <w:div w:id="64957805">
      <w:bodyDiv w:val="1"/>
      <w:marLeft w:val="0"/>
      <w:marRight w:val="0"/>
      <w:marTop w:val="0"/>
      <w:marBottom w:val="0"/>
      <w:divBdr>
        <w:top w:val="none" w:sz="0" w:space="0" w:color="auto"/>
        <w:left w:val="none" w:sz="0" w:space="0" w:color="auto"/>
        <w:bottom w:val="none" w:sz="0" w:space="0" w:color="auto"/>
        <w:right w:val="none" w:sz="0" w:space="0" w:color="auto"/>
      </w:divBdr>
    </w:div>
    <w:div w:id="65107115">
      <w:bodyDiv w:val="1"/>
      <w:marLeft w:val="0"/>
      <w:marRight w:val="0"/>
      <w:marTop w:val="0"/>
      <w:marBottom w:val="0"/>
      <w:divBdr>
        <w:top w:val="none" w:sz="0" w:space="0" w:color="auto"/>
        <w:left w:val="none" w:sz="0" w:space="0" w:color="auto"/>
        <w:bottom w:val="none" w:sz="0" w:space="0" w:color="auto"/>
        <w:right w:val="none" w:sz="0" w:space="0" w:color="auto"/>
      </w:divBdr>
    </w:div>
    <w:div w:id="67659244">
      <w:bodyDiv w:val="1"/>
      <w:marLeft w:val="0"/>
      <w:marRight w:val="0"/>
      <w:marTop w:val="0"/>
      <w:marBottom w:val="0"/>
      <w:divBdr>
        <w:top w:val="none" w:sz="0" w:space="0" w:color="auto"/>
        <w:left w:val="none" w:sz="0" w:space="0" w:color="auto"/>
        <w:bottom w:val="none" w:sz="0" w:space="0" w:color="auto"/>
        <w:right w:val="none" w:sz="0" w:space="0" w:color="auto"/>
      </w:divBdr>
    </w:div>
    <w:div w:id="68625018">
      <w:bodyDiv w:val="1"/>
      <w:marLeft w:val="0"/>
      <w:marRight w:val="0"/>
      <w:marTop w:val="0"/>
      <w:marBottom w:val="0"/>
      <w:divBdr>
        <w:top w:val="none" w:sz="0" w:space="0" w:color="auto"/>
        <w:left w:val="none" w:sz="0" w:space="0" w:color="auto"/>
        <w:bottom w:val="none" w:sz="0" w:space="0" w:color="auto"/>
        <w:right w:val="none" w:sz="0" w:space="0" w:color="auto"/>
      </w:divBdr>
    </w:div>
    <w:div w:id="68844173">
      <w:bodyDiv w:val="1"/>
      <w:marLeft w:val="0"/>
      <w:marRight w:val="0"/>
      <w:marTop w:val="0"/>
      <w:marBottom w:val="0"/>
      <w:divBdr>
        <w:top w:val="none" w:sz="0" w:space="0" w:color="auto"/>
        <w:left w:val="none" w:sz="0" w:space="0" w:color="auto"/>
        <w:bottom w:val="none" w:sz="0" w:space="0" w:color="auto"/>
        <w:right w:val="none" w:sz="0" w:space="0" w:color="auto"/>
      </w:divBdr>
    </w:div>
    <w:div w:id="74010734">
      <w:bodyDiv w:val="1"/>
      <w:marLeft w:val="0"/>
      <w:marRight w:val="0"/>
      <w:marTop w:val="0"/>
      <w:marBottom w:val="0"/>
      <w:divBdr>
        <w:top w:val="none" w:sz="0" w:space="0" w:color="auto"/>
        <w:left w:val="none" w:sz="0" w:space="0" w:color="auto"/>
        <w:bottom w:val="none" w:sz="0" w:space="0" w:color="auto"/>
        <w:right w:val="none" w:sz="0" w:space="0" w:color="auto"/>
      </w:divBdr>
    </w:div>
    <w:div w:id="76442138">
      <w:bodyDiv w:val="1"/>
      <w:marLeft w:val="0"/>
      <w:marRight w:val="0"/>
      <w:marTop w:val="0"/>
      <w:marBottom w:val="0"/>
      <w:divBdr>
        <w:top w:val="none" w:sz="0" w:space="0" w:color="auto"/>
        <w:left w:val="none" w:sz="0" w:space="0" w:color="auto"/>
        <w:bottom w:val="none" w:sz="0" w:space="0" w:color="auto"/>
        <w:right w:val="none" w:sz="0" w:space="0" w:color="auto"/>
      </w:divBdr>
    </w:div>
    <w:div w:id="79839872">
      <w:bodyDiv w:val="1"/>
      <w:marLeft w:val="0"/>
      <w:marRight w:val="0"/>
      <w:marTop w:val="0"/>
      <w:marBottom w:val="0"/>
      <w:divBdr>
        <w:top w:val="none" w:sz="0" w:space="0" w:color="auto"/>
        <w:left w:val="none" w:sz="0" w:space="0" w:color="auto"/>
        <w:bottom w:val="none" w:sz="0" w:space="0" w:color="auto"/>
        <w:right w:val="none" w:sz="0" w:space="0" w:color="auto"/>
      </w:divBdr>
    </w:div>
    <w:div w:id="81528985">
      <w:bodyDiv w:val="1"/>
      <w:marLeft w:val="0"/>
      <w:marRight w:val="0"/>
      <w:marTop w:val="0"/>
      <w:marBottom w:val="0"/>
      <w:divBdr>
        <w:top w:val="none" w:sz="0" w:space="0" w:color="auto"/>
        <w:left w:val="none" w:sz="0" w:space="0" w:color="auto"/>
        <w:bottom w:val="none" w:sz="0" w:space="0" w:color="auto"/>
        <w:right w:val="none" w:sz="0" w:space="0" w:color="auto"/>
      </w:divBdr>
    </w:div>
    <w:div w:id="82528611">
      <w:bodyDiv w:val="1"/>
      <w:marLeft w:val="0"/>
      <w:marRight w:val="0"/>
      <w:marTop w:val="0"/>
      <w:marBottom w:val="0"/>
      <w:divBdr>
        <w:top w:val="none" w:sz="0" w:space="0" w:color="auto"/>
        <w:left w:val="none" w:sz="0" w:space="0" w:color="auto"/>
        <w:bottom w:val="none" w:sz="0" w:space="0" w:color="auto"/>
        <w:right w:val="none" w:sz="0" w:space="0" w:color="auto"/>
      </w:divBdr>
    </w:div>
    <w:div w:id="86195214">
      <w:bodyDiv w:val="1"/>
      <w:marLeft w:val="0"/>
      <w:marRight w:val="0"/>
      <w:marTop w:val="0"/>
      <w:marBottom w:val="0"/>
      <w:divBdr>
        <w:top w:val="none" w:sz="0" w:space="0" w:color="auto"/>
        <w:left w:val="none" w:sz="0" w:space="0" w:color="auto"/>
        <w:bottom w:val="none" w:sz="0" w:space="0" w:color="auto"/>
        <w:right w:val="none" w:sz="0" w:space="0" w:color="auto"/>
      </w:divBdr>
    </w:div>
    <w:div w:id="93594520">
      <w:bodyDiv w:val="1"/>
      <w:marLeft w:val="0"/>
      <w:marRight w:val="0"/>
      <w:marTop w:val="0"/>
      <w:marBottom w:val="0"/>
      <w:divBdr>
        <w:top w:val="none" w:sz="0" w:space="0" w:color="auto"/>
        <w:left w:val="none" w:sz="0" w:space="0" w:color="auto"/>
        <w:bottom w:val="none" w:sz="0" w:space="0" w:color="auto"/>
        <w:right w:val="none" w:sz="0" w:space="0" w:color="auto"/>
      </w:divBdr>
    </w:div>
    <w:div w:id="95567762">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
    <w:div w:id="107359364">
      <w:bodyDiv w:val="1"/>
      <w:marLeft w:val="0"/>
      <w:marRight w:val="0"/>
      <w:marTop w:val="0"/>
      <w:marBottom w:val="0"/>
      <w:divBdr>
        <w:top w:val="none" w:sz="0" w:space="0" w:color="auto"/>
        <w:left w:val="none" w:sz="0" w:space="0" w:color="auto"/>
        <w:bottom w:val="none" w:sz="0" w:space="0" w:color="auto"/>
        <w:right w:val="none" w:sz="0" w:space="0" w:color="auto"/>
      </w:divBdr>
    </w:div>
    <w:div w:id="111173946">
      <w:bodyDiv w:val="1"/>
      <w:marLeft w:val="0"/>
      <w:marRight w:val="0"/>
      <w:marTop w:val="0"/>
      <w:marBottom w:val="0"/>
      <w:divBdr>
        <w:top w:val="none" w:sz="0" w:space="0" w:color="auto"/>
        <w:left w:val="none" w:sz="0" w:space="0" w:color="auto"/>
        <w:bottom w:val="none" w:sz="0" w:space="0" w:color="auto"/>
        <w:right w:val="none" w:sz="0" w:space="0" w:color="auto"/>
      </w:divBdr>
    </w:div>
    <w:div w:id="115146843">
      <w:bodyDiv w:val="1"/>
      <w:marLeft w:val="0"/>
      <w:marRight w:val="0"/>
      <w:marTop w:val="0"/>
      <w:marBottom w:val="0"/>
      <w:divBdr>
        <w:top w:val="none" w:sz="0" w:space="0" w:color="auto"/>
        <w:left w:val="none" w:sz="0" w:space="0" w:color="auto"/>
        <w:bottom w:val="none" w:sz="0" w:space="0" w:color="auto"/>
        <w:right w:val="none" w:sz="0" w:space="0" w:color="auto"/>
      </w:divBdr>
    </w:div>
    <w:div w:id="116141712">
      <w:bodyDiv w:val="1"/>
      <w:marLeft w:val="0"/>
      <w:marRight w:val="0"/>
      <w:marTop w:val="0"/>
      <w:marBottom w:val="0"/>
      <w:divBdr>
        <w:top w:val="none" w:sz="0" w:space="0" w:color="auto"/>
        <w:left w:val="none" w:sz="0" w:space="0" w:color="auto"/>
        <w:bottom w:val="none" w:sz="0" w:space="0" w:color="auto"/>
        <w:right w:val="none" w:sz="0" w:space="0" w:color="auto"/>
      </w:divBdr>
    </w:div>
    <w:div w:id="116142028">
      <w:bodyDiv w:val="1"/>
      <w:marLeft w:val="0"/>
      <w:marRight w:val="0"/>
      <w:marTop w:val="0"/>
      <w:marBottom w:val="0"/>
      <w:divBdr>
        <w:top w:val="none" w:sz="0" w:space="0" w:color="auto"/>
        <w:left w:val="none" w:sz="0" w:space="0" w:color="auto"/>
        <w:bottom w:val="none" w:sz="0" w:space="0" w:color="auto"/>
        <w:right w:val="none" w:sz="0" w:space="0" w:color="auto"/>
      </w:divBdr>
    </w:div>
    <w:div w:id="131680839">
      <w:bodyDiv w:val="1"/>
      <w:marLeft w:val="0"/>
      <w:marRight w:val="0"/>
      <w:marTop w:val="0"/>
      <w:marBottom w:val="0"/>
      <w:divBdr>
        <w:top w:val="none" w:sz="0" w:space="0" w:color="auto"/>
        <w:left w:val="none" w:sz="0" w:space="0" w:color="auto"/>
        <w:bottom w:val="none" w:sz="0" w:space="0" w:color="auto"/>
        <w:right w:val="none" w:sz="0" w:space="0" w:color="auto"/>
      </w:divBdr>
    </w:div>
    <w:div w:id="136992814">
      <w:bodyDiv w:val="1"/>
      <w:marLeft w:val="0"/>
      <w:marRight w:val="0"/>
      <w:marTop w:val="0"/>
      <w:marBottom w:val="0"/>
      <w:divBdr>
        <w:top w:val="none" w:sz="0" w:space="0" w:color="auto"/>
        <w:left w:val="none" w:sz="0" w:space="0" w:color="auto"/>
        <w:bottom w:val="none" w:sz="0" w:space="0" w:color="auto"/>
        <w:right w:val="none" w:sz="0" w:space="0" w:color="auto"/>
      </w:divBdr>
    </w:div>
    <w:div w:id="139229369">
      <w:bodyDiv w:val="1"/>
      <w:marLeft w:val="0"/>
      <w:marRight w:val="0"/>
      <w:marTop w:val="0"/>
      <w:marBottom w:val="0"/>
      <w:divBdr>
        <w:top w:val="none" w:sz="0" w:space="0" w:color="auto"/>
        <w:left w:val="none" w:sz="0" w:space="0" w:color="auto"/>
        <w:bottom w:val="none" w:sz="0" w:space="0" w:color="auto"/>
        <w:right w:val="none" w:sz="0" w:space="0" w:color="auto"/>
      </w:divBdr>
    </w:div>
    <w:div w:id="145706466">
      <w:bodyDiv w:val="1"/>
      <w:marLeft w:val="0"/>
      <w:marRight w:val="0"/>
      <w:marTop w:val="0"/>
      <w:marBottom w:val="0"/>
      <w:divBdr>
        <w:top w:val="none" w:sz="0" w:space="0" w:color="auto"/>
        <w:left w:val="none" w:sz="0" w:space="0" w:color="auto"/>
        <w:bottom w:val="none" w:sz="0" w:space="0" w:color="auto"/>
        <w:right w:val="none" w:sz="0" w:space="0" w:color="auto"/>
      </w:divBdr>
    </w:div>
    <w:div w:id="161509046">
      <w:bodyDiv w:val="1"/>
      <w:marLeft w:val="0"/>
      <w:marRight w:val="0"/>
      <w:marTop w:val="0"/>
      <w:marBottom w:val="0"/>
      <w:divBdr>
        <w:top w:val="none" w:sz="0" w:space="0" w:color="auto"/>
        <w:left w:val="none" w:sz="0" w:space="0" w:color="auto"/>
        <w:bottom w:val="none" w:sz="0" w:space="0" w:color="auto"/>
        <w:right w:val="none" w:sz="0" w:space="0" w:color="auto"/>
      </w:divBdr>
    </w:div>
    <w:div w:id="163936836">
      <w:bodyDiv w:val="1"/>
      <w:marLeft w:val="0"/>
      <w:marRight w:val="0"/>
      <w:marTop w:val="0"/>
      <w:marBottom w:val="0"/>
      <w:divBdr>
        <w:top w:val="none" w:sz="0" w:space="0" w:color="auto"/>
        <w:left w:val="none" w:sz="0" w:space="0" w:color="auto"/>
        <w:bottom w:val="none" w:sz="0" w:space="0" w:color="auto"/>
        <w:right w:val="none" w:sz="0" w:space="0" w:color="auto"/>
      </w:divBdr>
    </w:div>
    <w:div w:id="166986694">
      <w:bodyDiv w:val="1"/>
      <w:marLeft w:val="0"/>
      <w:marRight w:val="0"/>
      <w:marTop w:val="0"/>
      <w:marBottom w:val="0"/>
      <w:divBdr>
        <w:top w:val="none" w:sz="0" w:space="0" w:color="auto"/>
        <w:left w:val="none" w:sz="0" w:space="0" w:color="auto"/>
        <w:bottom w:val="none" w:sz="0" w:space="0" w:color="auto"/>
        <w:right w:val="none" w:sz="0" w:space="0" w:color="auto"/>
      </w:divBdr>
    </w:div>
    <w:div w:id="167866490">
      <w:bodyDiv w:val="1"/>
      <w:marLeft w:val="0"/>
      <w:marRight w:val="0"/>
      <w:marTop w:val="0"/>
      <w:marBottom w:val="0"/>
      <w:divBdr>
        <w:top w:val="none" w:sz="0" w:space="0" w:color="auto"/>
        <w:left w:val="none" w:sz="0" w:space="0" w:color="auto"/>
        <w:bottom w:val="none" w:sz="0" w:space="0" w:color="auto"/>
        <w:right w:val="none" w:sz="0" w:space="0" w:color="auto"/>
      </w:divBdr>
    </w:div>
    <w:div w:id="190149098">
      <w:bodyDiv w:val="1"/>
      <w:marLeft w:val="0"/>
      <w:marRight w:val="0"/>
      <w:marTop w:val="0"/>
      <w:marBottom w:val="0"/>
      <w:divBdr>
        <w:top w:val="none" w:sz="0" w:space="0" w:color="auto"/>
        <w:left w:val="none" w:sz="0" w:space="0" w:color="auto"/>
        <w:bottom w:val="none" w:sz="0" w:space="0" w:color="auto"/>
        <w:right w:val="none" w:sz="0" w:space="0" w:color="auto"/>
      </w:divBdr>
    </w:div>
    <w:div w:id="192110599">
      <w:bodyDiv w:val="1"/>
      <w:marLeft w:val="0"/>
      <w:marRight w:val="0"/>
      <w:marTop w:val="0"/>
      <w:marBottom w:val="0"/>
      <w:divBdr>
        <w:top w:val="none" w:sz="0" w:space="0" w:color="auto"/>
        <w:left w:val="none" w:sz="0" w:space="0" w:color="auto"/>
        <w:bottom w:val="none" w:sz="0" w:space="0" w:color="auto"/>
        <w:right w:val="none" w:sz="0" w:space="0" w:color="auto"/>
      </w:divBdr>
    </w:div>
    <w:div w:id="197663054">
      <w:bodyDiv w:val="1"/>
      <w:marLeft w:val="0"/>
      <w:marRight w:val="0"/>
      <w:marTop w:val="0"/>
      <w:marBottom w:val="0"/>
      <w:divBdr>
        <w:top w:val="none" w:sz="0" w:space="0" w:color="auto"/>
        <w:left w:val="none" w:sz="0" w:space="0" w:color="auto"/>
        <w:bottom w:val="none" w:sz="0" w:space="0" w:color="auto"/>
        <w:right w:val="none" w:sz="0" w:space="0" w:color="auto"/>
      </w:divBdr>
    </w:div>
    <w:div w:id="201330001">
      <w:bodyDiv w:val="1"/>
      <w:marLeft w:val="0"/>
      <w:marRight w:val="0"/>
      <w:marTop w:val="0"/>
      <w:marBottom w:val="0"/>
      <w:divBdr>
        <w:top w:val="none" w:sz="0" w:space="0" w:color="auto"/>
        <w:left w:val="none" w:sz="0" w:space="0" w:color="auto"/>
        <w:bottom w:val="none" w:sz="0" w:space="0" w:color="auto"/>
        <w:right w:val="none" w:sz="0" w:space="0" w:color="auto"/>
      </w:divBdr>
    </w:div>
    <w:div w:id="205028282">
      <w:bodyDiv w:val="1"/>
      <w:marLeft w:val="0"/>
      <w:marRight w:val="0"/>
      <w:marTop w:val="0"/>
      <w:marBottom w:val="0"/>
      <w:divBdr>
        <w:top w:val="none" w:sz="0" w:space="0" w:color="auto"/>
        <w:left w:val="none" w:sz="0" w:space="0" w:color="auto"/>
        <w:bottom w:val="none" w:sz="0" w:space="0" w:color="auto"/>
        <w:right w:val="none" w:sz="0" w:space="0" w:color="auto"/>
      </w:divBdr>
    </w:div>
    <w:div w:id="206451985">
      <w:bodyDiv w:val="1"/>
      <w:marLeft w:val="0"/>
      <w:marRight w:val="0"/>
      <w:marTop w:val="0"/>
      <w:marBottom w:val="0"/>
      <w:divBdr>
        <w:top w:val="none" w:sz="0" w:space="0" w:color="auto"/>
        <w:left w:val="none" w:sz="0" w:space="0" w:color="auto"/>
        <w:bottom w:val="none" w:sz="0" w:space="0" w:color="auto"/>
        <w:right w:val="none" w:sz="0" w:space="0" w:color="auto"/>
      </w:divBdr>
    </w:div>
    <w:div w:id="210922354">
      <w:bodyDiv w:val="1"/>
      <w:marLeft w:val="0"/>
      <w:marRight w:val="0"/>
      <w:marTop w:val="0"/>
      <w:marBottom w:val="0"/>
      <w:divBdr>
        <w:top w:val="none" w:sz="0" w:space="0" w:color="auto"/>
        <w:left w:val="none" w:sz="0" w:space="0" w:color="auto"/>
        <w:bottom w:val="none" w:sz="0" w:space="0" w:color="auto"/>
        <w:right w:val="none" w:sz="0" w:space="0" w:color="auto"/>
      </w:divBdr>
    </w:div>
    <w:div w:id="212011480">
      <w:bodyDiv w:val="1"/>
      <w:marLeft w:val="0"/>
      <w:marRight w:val="0"/>
      <w:marTop w:val="0"/>
      <w:marBottom w:val="0"/>
      <w:divBdr>
        <w:top w:val="none" w:sz="0" w:space="0" w:color="auto"/>
        <w:left w:val="none" w:sz="0" w:space="0" w:color="auto"/>
        <w:bottom w:val="none" w:sz="0" w:space="0" w:color="auto"/>
        <w:right w:val="none" w:sz="0" w:space="0" w:color="auto"/>
      </w:divBdr>
    </w:div>
    <w:div w:id="213278685">
      <w:bodyDiv w:val="1"/>
      <w:marLeft w:val="0"/>
      <w:marRight w:val="0"/>
      <w:marTop w:val="0"/>
      <w:marBottom w:val="0"/>
      <w:divBdr>
        <w:top w:val="none" w:sz="0" w:space="0" w:color="auto"/>
        <w:left w:val="none" w:sz="0" w:space="0" w:color="auto"/>
        <w:bottom w:val="none" w:sz="0" w:space="0" w:color="auto"/>
        <w:right w:val="none" w:sz="0" w:space="0" w:color="auto"/>
      </w:divBdr>
    </w:div>
    <w:div w:id="217665507">
      <w:bodyDiv w:val="1"/>
      <w:marLeft w:val="0"/>
      <w:marRight w:val="0"/>
      <w:marTop w:val="0"/>
      <w:marBottom w:val="0"/>
      <w:divBdr>
        <w:top w:val="none" w:sz="0" w:space="0" w:color="auto"/>
        <w:left w:val="none" w:sz="0" w:space="0" w:color="auto"/>
        <w:bottom w:val="none" w:sz="0" w:space="0" w:color="auto"/>
        <w:right w:val="none" w:sz="0" w:space="0" w:color="auto"/>
      </w:divBdr>
    </w:div>
    <w:div w:id="220217755">
      <w:bodyDiv w:val="1"/>
      <w:marLeft w:val="0"/>
      <w:marRight w:val="0"/>
      <w:marTop w:val="0"/>
      <w:marBottom w:val="0"/>
      <w:divBdr>
        <w:top w:val="none" w:sz="0" w:space="0" w:color="auto"/>
        <w:left w:val="none" w:sz="0" w:space="0" w:color="auto"/>
        <w:bottom w:val="none" w:sz="0" w:space="0" w:color="auto"/>
        <w:right w:val="none" w:sz="0" w:space="0" w:color="auto"/>
      </w:divBdr>
    </w:div>
    <w:div w:id="221521037">
      <w:bodyDiv w:val="1"/>
      <w:marLeft w:val="0"/>
      <w:marRight w:val="0"/>
      <w:marTop w:val="0"/>
      <w:marBottom w:val="0"/>
      <w:divBdr>
        <w:top w:val="none" w:sz="0" w:space="0" w:color="auto"/>
        <w:left w:val="none" w:sz="0" w:space="0" w:color="auto"/>
        <w:bottom w:val="none" w:sz="0" w:space="0" w:color="auto"/>
        <w:right w:val="none" w:sz="0" w:space="0" w:color="auto"/>
      </w:divBdr>
    </w:div>
    <w:div w:id="228466758">
      <w:bodyDiv w:val="1"/>
      <w:marLeft w:val="0"/>
      <w:marRight w:val="0"/>
      <w:marTop w:val="0"/>
      <w:marBottom w:val="0"/>
      <w:divBdr>
        <w:top w:val="none" w:sz="0" w:space="0" w:color="auto"/>
        <w:left w:val="none" w:sz="0" w:space="0" w:color="auto"/>
        <w:bottom w:val="none" w:sz="0" w:space="0" w:color="auto"/>
        <w:right w:val="none" w:sz="0" w:space="0" w:color="auto"/>
      </w:divBdr>
    </w:div>
    <w:div w:id="240911993">
      <w:bodyDiv w:val="1"/>
      <w:marLeft w:val="0"/>
      <w:marRight w:val="0"/>
      <w:marTop w:val="0"/>
      <w:marBottom w:val="0"/>
      <w:divBdr>
        <w:top w:val="none" w:sz="0" w:space="0" w:color="auto"/>
        <w:left w:val="none" w:sz="0" w:space="0" w:color="auto"/>
        <w:bottom w:val="none" w:sz="0" w:space="0" w:color="auto"/>
        <w:right w:val="none" w:sz="0" w:space="0" w:color="auto"/>
      </w:divBdr>
    </w:div>
    <w:div w:id="242180078">
      <w:bodyDiv w:val="1"/>
      <w:marLeft w:val="0"/>
      <w:marRight w:val="0"/>
      <w:marTop w:val="0"/>
      <w:marBottom w:val="0"/>
      <w:divBdr>
        <w:top w:val="none" w:sz="0" w:space="0" w:color="auto"/>
        <w:left w:val="none" w:sz="0" w:space="0" w:color="auto"/>
        <w:bottom w:val="none" w:sz="0" w:space="0" w:color="auto"/>
        <w:right w:val="none" w:sz="0" w:space="0" w:color="auto"/>
      </w:divBdr>
    </w:div>
    <w:div w:id="246620613">
      <w:bodyDiv w:val="1"/>
      <w:marLeft w:val="0"/>
      <w:marRight w:val="0"/>
      <w:marTop w:val="0"/>
      <w:marBottom w:val="0"/>
      <w:divBdr>
        <w:top w:val="none" w:sz="0" w:space="0" w:color="auto"/>
        <w:left w:val="none" w:sz="0" w:space="0" w:color="auto"/>
        <w:bottom w:val="none" w:sz="0" w:space="0" w:color="auto"/>
        <w:right w:val="none" w:sz="0" w:space="0" w:color="auto"/>
      </w:divBdr>
    </w:div>
    <w:div w:id="248388316">
      <w:bodyDiv w:val="1"/>
      <w:marLeft w:val="0"/>
      <w:marRight w:val="0"/>
      <w:marTop w:val="0"/>
      <w:marBottom w:val="0"/>
      <w:divBdr>
        <w:top w:val="none" w:sz="0" w:space="0" w:color="auto"/>
        <w:left w:val="none" w:sz="0" w:space="0" w:color="auto"/>
        <w:bottom w:val="none" w:sz="0" w:space="0" w:color="auto"/>
        <w:right w:val="none" w:sz="0" w:space="0" w:color="auto"/>
      </w:divBdr>
    </w:div>
    <w:div w:id="249198809">
      <w:bodyDiv w:val="1"/>
      <w:marLeft w:val="0"/>
      <w:marRight w:val="0"/>
      <w:marTop w:val="0"/>
      <w:marBottom w:val="0"/>
      <w:divBdr>
        <w:top w:val="none" w:sz="0" w:space="0" w:color="auto"/>
        <w:left w:val="none" w:sz="0" w:space="0" w:color="auto"/>
        <w:bottom w:val="none" w:sz="0" w:space="0" w:color="auto"/>
        <w:right w:val="none" w:sz="0" w:space="0" w:color="auto"/>
      </w:divBdr>
    </w:div>
    <w:div w:id="255135143">
      <w:bodyDiv w:val="1"/>
      <w:marLeft w:val="0"/>
      <w:marRight w:val="0"/>
      <w:marTop w:val="0"/>
      <w:marBottom w:val="0"/>
      <w:divBdr>
        <w:top w:val="none" w:sz="0" w:space="0" w:color="auto"/>
        <w:left w:val="none" w:sz="0" w:space="0" w:color="auto"/>
        <w:bottom w:val="none" w:sz="0" w:space="0" w:color="auto"/>
        <w:right w:val="none" w:sz="0" w:space="0" w:color="auto"/>
      </w:divBdr>
    </w:div>
    <w:div w:id="268978275">
      <w:bodyDiv w:val="1"/>
      <w:marLeft w:val="0"/>
      <w:marRight w:val="0"/>
      <w:marTop w:val="0"/>
      <w:marBottom w:val="0"/>
      <w:divBdr>
        <w:top w:val="none" w:sz="0" w:space="0" w:color="auto"/>
        <w:left w:val="none" w:sz="0" w:space="0" w:color="auto"/>
        <w:bottom w:val="none" w:sz="0" w:space="0" w:color="auto"/>
        <w:right w:val="none" w:sz="0" w:space="0" w:color="auto"/>
      </w:divBdr>
    </w:div>
    <w:div w:id="269700995">
      <w:bodyDiv w:val="1"/>
      <w:marLeft w:val="0"/>
      <w:marRight w:val="0"/>
      <w:marTop w:val="0"/>
      <w:marBottom w:val="0"/>
      <w:divBdr>
        <w:top w:val="none" w:sz="0" w:space="0" w:color="auto"/>
        <w:left w:val="none" w:sz="0" w:space="0" w:color="auto"/>
        <w:bottom w:val="none" w:sz="0" w:space="0" w:color="auto"/>
        <w:right w:val="none" w:sz="0" w:space="0" w:color="auto"/>
      </w:divBdr>
    </w:div>
    <w:div w:id="269824943">
      <w:bodyDiv w:val="1"/>
      <w:marLeft w:val="0"/>
      <w:marRight w:val="0"/>
      <w:marTop w:val="0"/>
      <w:marBottom w:val="0"/>
      <w:divBdr>
        <w:top w:val="none" w:sz="0" w:space="0" w:color="auto"/>
        <w:left w:val="none" w:sz="0" w:space="0" w:color="auto"/>
        <w:bottom w:val="none" w:sz="0" w:space="0" w:color="auto"/>
        <w:right w:val="none" w:sz="0" w:space="0" w:color="auto"/>
      </w:divBdr>
    </w:div>
    <w:div w:id="277301693">
      <w:bodyDiv w:val="1"/>
      <w:marLeft w:val="0"/>
      <w:marRight w:val="0"/>
      <w:marTop w:val="0"/>
      <w:marBottom w:val="0"/>
      <w:divBdr>
        <w:top w:val="none" w:sz="0" w:space="0" w:color="auto"/>
        <w:left w:val="none" w:sz="0" w:space="0" w:color="auto"/>
        <w:bottom w:val="none" w:sz="0" w:space="0" w:color="auto"/>
        <w:right w:val="none" w:sz="0" w:space="0" w:color="auto"/>
      </w:divBdr>
    </w:div>
    <w:div w:id="277878668">
      <w:bodyDiv w:val="1"/>
      <w:marLeft w:val="0"/>
      <w:marRight w:val="0"/>
      <w:marTop w:val="0"/>
      <w:marBottom w:val="0"/>
      <w:divBdr>
        <w:top w:val="none" w:sz="0" w:space="0" w:color="auto"/>
        <w:left w:val="none" w:sz="0" w:space="0" w:color="auto"/>
        <w:bottom w:val="none" w:sz="0" w:space="0" w:color="auto"/>
        <w:right w:val="none" w:sz="0" w:space="0" w:color="auto"/>
      </w:divBdr>
    </w:div>
    <w:div w:id="277957128">
      <w:bodyDiv w:val="1"/>
      <w:marLeft w:val="0"/>
      <w:marRight w:val="0"/>
      <w:marTop w:val="0"/>
      <w:marBottom w:val="0"/>
      <w:divBdr>
        <w:top w:val="none" w:sz="0" w:space="0" w:color="auto"/>
        <w:left w:val="none" w:sz="0" w:space="0" w:color="auto"/>
        <w:bottom w:val="none" w:sz="0" w:space="0" w:color="auto"/>
        <w:right w:val="none" w:sz="0" w:space="0" w:color="auto"/>
      </w:divBdr>
    </w:div>
    <w:div w:id="290140243">
      <w:bodyDiv w:val="1"/>
      <w:marLeft w:val="0"/>
      <w:marRight w:val="0"/>
      <w:marTop w:val="0"/>
      <w:marBottom w:val="0"/>
      <w:divBdr>
        <w:top w:val="none" w:sz="0" w:space="0" w:color="auto"/>
        <w:left w:val="none" w:sz="0" w:space="0" w:color="auto"/>
        <w:bottom w:val="none" w:sz="0" w:space="0" w:color="auto"/>
        <w:right w:val="none" w:sz="0" w:space="0" w:color="auto"/>
      </w:divBdr>
    </w:div>
    <w:div w:id="294415671">
      <w:bodyDiv w:val="1"/>
      <w:marLeft w:val="0"/>
      <w:marRight w:val="0"/>
      <w:marTop w:val="0"/>
      <w:marBottom w:val="0"/>
      <w:divBdr>
        <w:top w:val="none" w:sz="0" w:space="0" w:color="auto"/>
        <w:left w:val="none" w:sz="0" w:space="0" w:color="auto"/>
        <w:bottom w:val="none" w:sz="0" w:space="0" w:color="auto"/>
        <w:right w:val="none" w:sz="0" w:space="0" w:color="auto"/>
      </w:divBdr>
    </w:div>
    <w:div w:id="300766142">
      <w:bodyDiv w:val="1"/>
      <w:marLeft w:val="0"/>
      <w:marRight w:val="0"/>
      <w:marTop w:val="0"/>
      <w:marBottom w:val="0"/>
      <w:divBdr>
        <w:top w:val="none" w:sz="0" w:space="0" w:color="auto"/>
        <w:left w:val="none" w:sz="0" w:space="0" w:color="auto"/>
        <w:bottom w:val="none" w:sz="0" w:space="0" w:color="auto"/>
        <w:right w:val="none" w:sz="0" w:space="0" w:color="auto"/>
      </w:divBdr>
    </w:div>
    <w:div w:id="304313197">
      <w:bodyDiv w:val="1"/>
      <w:marLeft w:val="0"/>
      <w:marRight w:val="0"/>
      <w:marTop w:val="0"/>
      <w:marBottom w:val="0"/>
      <w:divBdr>
        <w:top w:val="none" w:sz="0" w:space="0" w:color="auto"/>
        <w:left w:val="none" w:sz="0" w:space="0" w:color="auto"/>
        <w:bottom w:val="none" w:sz="0" w:space="0" w:color="auto"/>
        <w:right w:val="none" w:sz="0" w:space="0" w:color="auto"/>
      </w:divBdr>
    </w:div>
    <w:div w:id="309332305">
      <w:bodyDiv w:val="1"/>
      <w:marLeft w:val="0"/>
      <w:marRight w:val="0"/>
      <w:marTop w:val="0"/>
      <w:marBottom w:val="0"/>
      <w:divBdr>
        <w:top w:val="none" w:sz="0" w:space="0" w:color="auto"/>
        <w:left w:val="none" w:sz="0" w:space="0" w:color="auto"/>
        <w:bottom w:val="none" w:sz="0" w:space="0" w:color="auto"/>
        <w:right w:val="none" w:sz="0" w:space="0" w:color="auto"/>
      </w:divBdr>
    </w:div>
    <w:div w:id="317810645">
      <w:bodyDiv w:val="1"/>
      <w:marLeft w:val="0"/>
      <w:marRight w:val="0"/>
      <w:marTop w:val="0"/>
      <w:marBottom w:val="0"/>
      <w:divBdr>
        <w:top w:val="none" w:sz="0" w:space="0" w:color="auto"/>
        <w:left w:val="none" w:sz="0" w:space="0" w:color="auto"/>
        <w:bottom w:val="none" w:sz="0" w:space="0" w:color="auto"/>
        <w:right w:val="none" w:sz="0" w:space="0" w:color="auto"/>
      </w:divBdr>
    </w:div>
    <w:div w:id="318195451">
      <w:bodyDiv w:val="1"/>
      <w:marLeft w:val="0"/>
      <w:marRight w:val="0"/>
      <w:marTop w:val="0"/>
      <w:marBottom w:val="0"/>
      <w:divBdr>
        <w:top w:val="none" w:sz="0" w:space="0" w:color="auto"/>
        <w:left w:val="none" w:sz="0" w:space="0" w:color="auto"/>
        <w:bottom w:val="none" w:sz="0" w:space="0" w:color="auto"/>
        <w:right w:val="none" w:sz="0" w:space="0" w:color="auto"/>
      </w:divBdr>
    </w:div>
    <w:div w:id="321128839">
      <w:bodyDiv w:val="1"/>
      <w:marLeft w:val="0"/>
      <w:marRight w:val="0"/>
      <w:marTop w:val="0"/>
      <w:marBottom w:val="0"/>
      <w:divBdr>
        <w:top w:val="none" w:sz="0" w:space="0" w:color="auto"/>
        <w:left w:val="none" w:sz="0" w:space="0" w:color="auto"/>
        <w:bottom w:val="none" w:sz="0" w:space="0" w:color="auto"/>
        <w:right w:val="none" w:sz="0" w:space="0" w:color="auto"/>
      </w:divBdr>
    </w:div>
    <w:div w:id="327438418">
      <w:bodyDiv w:val="1"/>
      <w:marLeft w:val="0"/>
      <w:marRight w:val="0"/>
      <w:marTop w:val="0"/>
      <w:marBottom w:val="0"/>
      <w:divBdr>
        <w:top w:val="none" w:sz="0" w:space="0" w:color="auto"/>
        <w:left w:val="none" w:sz="0" w:space="0" w:color="auto"/>
        <w:bottom w:val="none" w:sz="0" w:space="0" w:color="auto"/>
        <w:right w:val="none" w:sz="0" w:space="0" w:color="auto"/>
      </w:divBdr>
    </w:div>
    <w:div w:id="328557329">
      <w:bodyDiv w:val="1"/>
      <w:marLeft w:val="0"/>
      <w:marRight w:val="0"/>
      <w:marTop w:val="0"/>
      <w:marBottom w:val="0"/>
      <w:divBdr>
        <w:top w:val="none" w:sz="0" w:space="0" w:color="auto"/>
        <w:left w:val="none" w:sz="0" w:space="0" w:color="auto"/>
        <w:bottom w:val="none" w:sz="0" w:space="0" w:color="auto"/>
        <w:right w:val="none" w:sz="0" w:space="0" w:color="auto"/>
      </w:divBdr>
    </w:div>
    <w:div w:id="332031569">
      <w:bodyDiv w:val="1"/>
      <w:marLeft w:val="0"/>
      <w:marRight w:val="0"/>
      <w:marTop w:val="0"/>
      <w:marBottom w:val="0"/>
      <w:divBdr>
        <w:top w:val="none" w:sz="0" w:space="0" w:color="auto"/>
        <w:left w:val="none" w:sz="0" w:space="0" w:color="auto"/>
        <w:bottom w:val="none" w:sz="0" w:space="0" w:color="auto"/>
        <w:right w:val="none" w:sz="0" w:space="0" w:color="auto"/>
      </w:divBdr>
    </w:div>
    <w:div w:id="332032458">
      <w:bodyDiv w:val="1"/>
      <w:marLeft w:val="0"/>
      <w:marRight w:val="0"/>
      <w:marTop w:val="0"/>
      <w:marBottom w:val="0"/>
      <w:divBdr>
        <w:top w:val="none" w:sz="0" w:space="0" w:color="auto"/>
        <w:left w:val="none" w:sz="0" w:space="0" w:color="auto"/>
        <w:bottom w:val="none" w:sz="0" w:space="0" w:color="auto"/>
        <w:right w:val="none" w:sz="0" w:space="0" w:color="auto"/>
      </w:divBdr>
    </w:div>
    <w:div w:id="335617889">
      <w:bodyDiv w:val="1"/>
      <w:marLeft w:val="0"/>
      <w:marRight w:val="0"/>
      <w:marTop w:val="0"/>
      <w:marBottom w:val="0"/>
      <w:divBdr>
        <w:top w:val="none" w:sz="0" w:space="0" w:color="auto"/>
        <w:left w:val="none" w:sz="0" w:space="0" w:color="auto"/>
        <w:bottom w:val="none" w:sz="0" w:space="0" w:color="auto"/>
        <w:right w:val="none" w:sz="0" w:space="0" w:color="auto"/>
      </w:divBdr>
      <w:divsChild>
        <w:div w:id="723218714">
          <w:marLeft w:val="547"/>
          <w:marRight w:val="0"/>
          <w:marTop w:val="0"/>
          <w:marBottom w:val="0"/>
          <w:divBdr>
            <w:top w:val="none" w:sz="0" w:space="0" w:color="auto"/>
            <w:left w:val="none" w:sz="0" w:space="0" w:color="auto"/>
            <w:bottom w:val="none" w:sz="0" w:space="0" w:color="auto"/>
            <w:right w:val="none" w:sz="0" w:space="0" w:color="auto"/>
          </w:divBdr>
        </w:div>
      </w:divsChild>
    </w:div>
    <w:div w:id="337197990">
      <w:bodyDiv w:val="1"/>
      <w:marLeft w:val="0"/>
      <w:marRight w:val="0"/>
      <w:marTop w:val="0"/>
      <w:marBottom w:val="0"/>
      <w:divBdr>
        <w:top w:val="none" w:sz="0" w:space="0" w:color="auto"/>
        <w:left w:val="none" w:sz="0" w:space="0" w:color="auto"/>
        <w:bottom w:val="none" w:sz="0" w:space="0" w:color="auto"/>
        <w:right w:val="none" w:sz="0" w:space="0" w:color="auto"/>
      </w:divBdr>
    </w:div>
    <w:div w:id="339821906">
      <w:bodyDiv w:val="1"/>
      <w:marLeft w:val="0"/>
      <w:marRight w:val="0"/>
      <w:marTop w:val="0"/>
      <w:marBottom w:val="0"/>
      <w:divBdr>
        <w:top w:val="none" w:sz="0" w:space="0" w:color="auto"/>
        <w:left w:val="none" w:sz="0" w:space="0" w:color="auto"/>
        <w:bottom w:val="none" w:sz="0" w:space="0" w:color="auto"/>
        <w:right w:val="none" w:sz="0" w:space="0" w:color="auto"/>
      </w:divBdr>
    </w:div>
    <w:div w:id="340619536">
      <w:bodyDiv w:val="1"/>
      <w:marLeft w:val="0"/>
      <w:marRight w:val="0"/>
      <w:marTop w:val="0"/>
      <w:marBottom w:val="0"/>
      <w:divBdr>
        <w:top w:val="none" w:sz="0" w:space="0" w:color="auto"/>
        <w:left w:val="none" w:sz="0" w:space="0" w:color="auto"/>
        <w:bottom w:val="none" w:sz="0" w:space="0" w:color="auto"/>
        <w:right w:val="none" w:sz="0" w:space="0" w:color="auto"/>
      </w:divBdr>
    </w:div>
    <w:div w:id="342171996">
      <w:bodyDiv w:val="1"/>
      <w:marLeft w:val="0"/>
      <w:marRight w:val="0"/>
      <w:marTop w:val="0"/>
      <w:marBottom w:val="0"/>
      <w:divBdr>
        <w:top w:val="none" w:sz="0" w:space="0" w:color="auto"/>
        <w:left w:val="none" w:sz="0" w:space="0" w:color="auto"/>
        <w:bottom w:val="none" w:sz="0" w:space="0" w:color="auto"/>
        <w:right w:val="none" w:sz="0" w:space="0" w:color="auto"/>
      </w:divBdr>
      <w:divsChild>
        <w:div w:id="11959348">
          <w:marLeft w:val="547"/>
          <w:marRight w:val="0"/>
          <w:marTop w:val="0"/>
          <w:marBottom w:val="0"/>
          <w:divBdr>
            <w:top w:val="none" w:sz="0" w:space="0" w:color="auto"/>
            <w:left w:val="none" w:sz="0" w:space="0" w:color="auto"/>
            <w:bottom w:val="none" w:sz="0" w:space="0" w:color="auto"/>
            <w:right w:val="none" w:sz="0" w:space="0" w:color="auto"/>
          </w:divBdr>
        </w:div>
      </w:divsChild>
    </w:div>
    <w:div w:id="344553115">
      <w:bodyDiv w:val="1"/>
      <w:marLeft w:val="0"/>
      <w:marRight w:val="0"/>
      <w:marTop w:val="0"/>
      <w:marBottom w:val="0"/>
      <w:divBdr>
        <w:top w:val="none" w:sz="0" w:space="0" w:color="auto"/>
        <w:left w:val="none" w:sz="0" w:space="0" w:color="auto"/>
        <w:bottom w:val="none" w:sz="0" w:space="0" w:color="auto"/>
        <w:right w:val="none" w:sz="0" w:space="0" w:color="auto"/>
      </w:divBdr>
    </w:div>
    <w:div w:id="357855381">
      <w:bodyDiv w:val="1"/>
      <w:marLeft w:val="0"/>
      <w:marRight w:val="0"/>
      <w:marTop w:val="0"/>
      <w:marBottom w:val="0"/>
      <w:divBdr>
        <w:top w:val="none" w:sz="0" w:space="0" w:color="auto"/>
        <w:left w:val="none" w:sz="0" w:space="0" w:color="auto"/>
        <w:bottom w:val="none" w:sz="0" w:space="0" w:color="auto"/>
        <w:right w:val="none" w:sz="0" w:space="0" w:color="auto"/>
      </w:divBdr>
    </w:div>
    <w:div w:id="360938224">
      <w:bodyDiv w:val="1"/>
      <w:marLeft w:val="0"/>
      <w:marRight w:val="0"/>
      <w:marTop w:val="0"/>
      <w:marBottom w:val="0"/>
      <w:divBdr>
        <w:top w:val="none" w:sz="0" w:space="0" w:color="auto"/>
        <w:left w:val="none" w:sz="0" w:space="0" w:color="auto"/>
        <w:bottom w:val="none" w:sz="0" w:space="0" w:color="auto"/>
        <w:right w:val="none" w:sz="0" w:space="0" w:color="auto"/>
      </w:divBdr>
    </w:div>
    <w:div w:id="362829466">
      <w:bodyDiv w:val="1"/>
      <w:marLeft w:val="0"/>
      <w:marRight w:val="0"/>
      <w:marTop w:val="0"/>
      <w:marBottom w:val="0"/>
      <w:divBdr>
        <w:top w:val="none" w:sz="0" w:space="0" w:color="auto"/>
        <w:left w:val="none" w:sz="0" w:space="0" w:color="auto"/>
        <w:bottom w:val="none" w:sz="0" w:space="0" w:color="auto"/>
        <w:right w:val="none" w:sz="0" w:space="0" w:color="auto"/>
      </w:divBdr>
    </w:div>
    <w:div w:id="369889593">
      <w:bodyDiv w:val="1"/>
      <w:marLeft w:val="0"/>
      <w:marRight w:val="0"/>
      <w:marTop w:val="0"/>
      <w:marBottom w:val="0"/>
      <w:divBdr>
        <w:top w:val="none" w:sz="0" w:space="0" w:color="auto"/>
        <w:left w:val="none" w:sz="0" w:space="0" w:color="auto"/>
        <w:bottom w:val="none" w:sz="0" w:space="0" w:color="auto"/>
        <w:right w:val="none" w:sz="0" w:space="0" w:color="auto"/>
      </w:divBdr>
    </w:div>
    <w:div w:id="371030725">
      <w:bodyDiv w:val="1"/>
      <w:marLeft w:val="0"/>
      <w:marRight w:val="0"/>
      <w:marTop w:val="0"/>
      <w:marBottom w:val="0"/>
      <w:divBdr>
        <w:top w:val="none" w:sz="0" w:space="0" w:color="auto"/>
        <w:left w:val="none" w:sz="0" w:space="0" w:color="auto"/>
        <w:bottom w:val="none" w:sz="0" w:space="0" w:color="auto"/>
        <w:right w:val="none" w:sz="0" w:space="0" w:color="auto"/>
      </w:divBdr>
    </w:div>
    <w:div w:id="373970837">
      <w:bodyDiv w:val="1"/>
      <w:marLeft w:val="0"/>
      <w:marRight w:val="0"/>
      <w:marTop w:val="0"/>
      <w:marBottom w:val="0"/>
      <w:divBdr>
        <w:top w:val="none" w:sz="0" w:space="0" w:color="auto"/>
        <w:left w:val="none" w:sz="0" w:space="0" w:color="auto"/>
        <w:bottom w:val="none" w:sz="0" w:space="0" w:color="auto"/>
        <w:right w:val="none" w:sz="0" w:space="0" w:color="auto"/>
      </w:divBdr>
    </w:div>
    <w:div w:id="374818423">
      <w:bodyDiv w:val="1"/>
      <w:marLeft w:val="0"/>
      <w:marRight w:val="0"/>
      <w:marTop w:val="0"/>
      <w:marBottom w:val="0"/>
      <w:divBdr>
        <w:top w:val="none" w:sz="0" w:space="0" w:color="auto"/>
        <w:left w:val="none" w:sz="0" w:space="0" w:color="auto"/>
        <w:bottom w:val="none" w:sz="0" w:space="0" w:color="auto"/>
        <w:right w:val="none" w:sz="0" w:space="0" w:color="auto"/>
      </w:divBdr>
    </w:div>
    <w:div w:id="376778605">
      <w:bodyDiv w:val="1"/>
      <w:marLeft w:val="0"/>
      <w:marRight w:val="0"/>
      <w:marTop w:val="0"/>
      <w:marBottom w:val="0"/>
      <w:divBdr>
        <w:top w:val="none" w:sz="0" w:space="0" w:color="auto"/>
        <w:left w:val="none" w:sz="0" w:space="0" w:color="auto"/>
        <w:bottom w:val="none" w:sz="0" w:space="0" w:color="auto"/>
        <w:right w:val="none" w:sz="0" w:space="0" w:color="auto"/>
      </w:divBdr>
    </w:div>
    <w:div w:id="388192372">
      <w:bodyDiv w:val="1"/>
      <w:marLeft w:val="0"/>
      <w:marRight w:val="0"/>
      <w:marTop w:val="0"/>
      <w:marBottom w:val="0"/>
      <w:divBdr>
        <w:top w:val="none" w:sz="0" w:space="0" w:color="auto"/>
        <w:left w:val="none" w:sz="0" w:space="0" w:color="auto"/>
        <w:bottom w:val="none" w:sz="0" w:space="0" w:color="auto"/>
        <w:right w:val="none" w:sz="0" w:space="0" w:color="auto"/>
      </w:divBdr>
    </w:div>
    <w:div w:id="389111803">
      <w:bodyDiv w:val="1"/>
      <w:marLeft w:val="0"/>
      <w:marRight w:val="0"/>
      <w:marTop w:val="0"/>
      <w:marBottom w:val="0"/>
      <w:divBdr>
        <w:top w:val="none" w:sz="0" w:space="0" w:color="auto"/>
        <w:left w:val="none" w:sz="0" w:space="0" w:color="auto"/>
        <w:bottom w:val="none" w:sz="0" w:space="0" w:color="auto"/>
        <w:right w:val="none" w:sz="0" w:space="0" w:color="auto"/>
      </w:divBdr>
    </w:div>
    <w:div w:id="405107043">
      <w:bodyDiv w:val="1"/>
      <w:marLeft w:val="0"/>
      <w:marRight w:val="0"/>
      <w:marTop w:val="0"/>
      <w:marBottom w:val="0"/>
      <w:divBdr>
        <w:top w:val="none" w:sz="0" w:space="0" w:color="auto"/>
        <w:left w:val="none" w:sz="0" w:space="0" w:color="auto"/>
        <w:bottom w:val="none" w:sz="0" w:space="0" w:color="auto"/>
        <w:right w:val="none" w:sz="0" w:space="0" w:color="auto"/>
      </w:divBdr>
    </w:div>
    <w:div w:id="407457132">
      <w:bodyDiv w:val="1"/>
      <w:marLeft w:val="0"/>
      <w:marRight w:val="0"/>
      <w:marTop w:val="0"/>
      <w:marBottom w:val="0"/>
      <w:divBdr>
        <w:top w:val="none" w:sz="0" w:space="0" w:color="auto"/>
        <w:left w:val="none" w:sz="0" w:space="0" w:color="auto"/>
        <w:bottom w:val="none" w:sz="0" w:space="0" w:color="auto"/>
        <w:right w:val="none" w:sz="0" w:space="0" w:color="auto"/>
      </w:divBdr>
    </w:div>
    <w:div w:id="415060350">
      <w:bodyDiv w:val="1"/>
      <w:marLeft w:val="0"/>
      <w:marRight w:val="0"/>
      <w:marTop w:val="0"/>
      <w:marBottom w:val="0"/>
      <w:divBdr>
        <w:top w:val="none" w:sz="0" w:space="0" w:color="auto"/>
        <w:left w:val="none" w:sz="0" w:space="0" w:color="auto"/>
        <w:bottom w:val="none" w:sz="0" w:space="0" w:color="auto"/>
        <w:right w:val="none" w:sz="0" w:space="0" w:color="auto"/>
      </w:divBdr>
    </w:div>
    <w:div w:id="415132881">
      <w:bodyDiv w:val="1"/>
      <w:marLeft w:val="0"/>
      <w:marRight w:val="0"/>
      <w:marTop w:val="0"/>
      <w:marBottom w:val="0"/>
      <w:divBdr>
        <w:top w:val="none" w:sz="0" w:space="0" w:color="auto"/>
        <w:left w:val="none" w:sz="0" w:space="0" w:color="auto"/>
        <w:bottom w:val="none" w:sz="0" w:space="0" w:color="auto"/>
        <w:right w:val="none" w:sz="0" w:space="0" w:color="auto"/>
      </w:divBdr>
    </w:div>
    <w:div w:id="417294671">
      <w:bodyDiv w:val="1"/>
      <w:marLeft w:val="0"/>
      <w:marRight w:val="0"/>
      <w:marTop w:val="0"/>
      <w:marBottom w:val="0"/>
      <w:divBdr>
        <w:top w:val="none" w:sz="0" w:space="0" w:color="auto"/>
        <w:left w:val="none" w:sz="0" w:space="0" w:color="auto"/>
        <w:bottom w:val="none" w:sz="0" w:space="0" w:color="auto"/>
        <w:right w:val="none" w:sz="0" w:space="0" w:color="auto"/>
      </w:divBdr>
    </w:div>
    <w:div w:id="423376633">
      <w:bodyDiv w:val="1"/>
      <w:marLeft w:val="0"/>
      <w:marRight w:val="0"/>
      <w:marTop w:val="0"/>
      <w:marBottom w:val="0"/>
      <w:divBdr>
        <w:top w:val="none" w:sz="0" w:space="0" w:color="auto"/>
        <w:left w:val="none" w:sz="0" w:space="0" w:color="auto"/>
        <w:bottom w:val="none" w:sz="0" w:space="0" w:color="auto"/>
        <w:right w:val="none" w:sz="0" w:space="0" w:color="auto"/>
      </w:divBdr>
    </w:div>
    <w:div w:id="425080110">
      <w:bodyDiv w:val="1"/>
      <w:marLeft w:val="0"/>
      <w:marRight w:val="0"/>
      <w:marTop w:val="0"/>
      <w:marBottom w:val="0"/>
      <w:divBdr>
        <w:top w:val="none" w:sz="0" w:space="0" w:color="auto"/>
        <w:left w:val="none" w:sz="0" w:space="0" w:color="auto"/>
        <w:bottom w:val="none" w:sz="0" w:space="0" w:color="auto"/>
        <w:right w:val="none" w:sz="0" w:space="0" w:color="auto"/>
      </w:divBdr>
    </w:div>
    <w:div w:id="428161386">
      <w:bodyDiv w:val="1"/>
      <w:marLeft w:val="0"/>
      <w:marRight w:val="0"/>
      <w:marTop w:val="0"/>
      <w:marBottom w:val="0"/>
      <w:divBdr>
        <w:top w:val="none" w:sz="0" w:space="0" w:color="auto"/>
        <w:left w:val="none" w:sz="0" w:space="0" w:color="auto"/>
        <w:bottom w:val="none" w:sz="0" w:space="0" w:color="auto"/>
        <w:right w:val="none" w:sz="0" w:space="0" w:color="auto"/>
      </w:divBdr>
    </w:div>
    <w:div w:id="428624395">
      <w:bodyDiv w:val="1"/>
      <w:marLeft w:val="0"/>
      <w:marRight w:val="0"/>
      <w:marTop w:val="0"/>
      <w:marBottom w:val="0"/>
      <w:divBdr>
        <w:top w:val="none" w:sz="0" w:space="0" w:color="auto"/>
        <w:left w:val="none" w:sz="0" w:space="0" w:color="auto"/>
        <w:bottom w:val="none" w:sz="0" w:space="0" w:color="auto"/>
        <w:right w:val="none" w:sz="0" w:space="0" w:color="auto"/>
      </w:divBdr>
    </w:div>
    <w:div w:id="428738876">
      <w:bodyDiv w:val="1"/>
      <w:marLeft w:val="0"/>
      <w:marRight w:val="0"/>
      <w:marTop w:val="0"/>
      <w:marBottom w:val="0"/>
      <w:divBdr>
        <w:top w:val="none" w:sz="0" w:space="0" w:color="auto"/>
        <w:left w:val="none" w:sz="0" w:space="0" w:color="auto"/>
        <w:bottom w:val="none" w:sz="0" w:space="0" w:color="auto"/>
        <w:right w:val="none" w:sz="0" w:space="0" w:color="auto"/>
      </w:divBdr>
    </w:div>
    <w:div w:id="430012888">
      <w:bodyDiv w:val="1"/>
      <w:marLeft w:val="0"/>
      <w:marRight w:val="0"/>
      <w:marTop w:val="0"/>
      <w:marBottom w:val="0"/>
      <w:divBdr>
        <w:top w:val="none" w:sz="0" w:space="0" w:color="auto"/>
        <w:left w:val="none" w:sz="0" w:space="0" w:color="auto"/>
        <w:bottom w:val="none" w:sz="0" w:space="0" w:color="auto"/>
        <w:right w:val="none" w:sz="0" w:space="0" w:color="auto"/>
      </w:divBdr>
    </w:div>
    <w:div w:id="431978340">
      <w:bodyDiv w:val="1"/>
      <w:marLeft w:val="0"/>
      <w:marRight w:val="0"/>
      <w:marTop w:val="0"/>
      <w:marBottom w:val="0"/>
      <w:divBdr>
        <w:top w:val="none" w:sz="0" w:space="0" w:color="auto"/>
        <w:left w:val="none" w:sz="0" w:space="0" w:color="auto"/>
        <w:bottom w:val="none" w:sz="0" w:space="0" w:color="auto"/>
        <w:right w:val="none" w:sz="0" w:space="0" w:color="auto"/>
      </w:divBdr>
    </w:div>
    <w:div w:id="433983635">
      <w:bodyDiv w:val="1"/>
      <w:marLeft w:val="0"/>
      <w:marRight w:val="0"/>
      <w:marTop w:val="0"/>
      <w:marBottom w:val="0"/>
      <w:divBdr>
        <w:top w:val="none" w:sz="0" w:space="0" w:color="auto"/>
        <w:left w:val="none" w:sz="0" w:space="0" w:color="auto"/>
        <w:bottom w:val="none" w:sz="0" w:space="0" w:color="auto"/>
        <w:right w:val="none" w:sz="0" w:space="0" w:color="auto"/>
      </w:divBdr>
    </w:div>
    <w:div w:id="434520081">
      <w:bodyDiv w:val="1"/>
      <w:marLeft w:val="0"/>
      <w:marRight w:val="0"/>
      <w:marTop w:val="0"/>
      <w:marBottom w:val="0"/>
      <w:divBdr>
        <w:top w:val="none" w:sz="0" w:space="0" w:color="auto"/>
        <w:left w:val="none" w:sz="0" w:space="0" w:color="auto"/>
        <w:bottom w:val="none" w:sz="0" w:space="0" w:color="auto"/>
        <w:right w:val="none" w:sz="0" w:space="0" w:color="auto"/>
      </w:divBdr>
    </w:div>
    <w:div w:id="441800353">
      <w:bodyDiv w:val="1"/>
      <w:marLeft w:val="0"/>
      <w:marRight w:val="0"/>
      <w:marTop w:val="0"/>
      <w:marBottom w:val="0"/>
      <w:divBdr>
        <w:top w:val="none" w:sz="0" w:space="0" w:color="auto"/>
        <w:left w:val="none" w:sz="0" w:space="0" w:color="auto"/>
        <w:bottom w:val="none" w:sz="0" w:space="0" w:color="auto"/>
        <w:right w:val="none" w:sz="0" w:space="0" w:color="auto"/>
      </w:divBdr>
    </w:div>
    <w:div w:id="443696324">
      <w:bodyDiv w:val="1"/>
      <w:marLeft w:val="0"/>
      <w:marRight w:val="0"/>
      <w:marTop w:val="0"/>
      <w:marBottom w:val="0"/>
      <w:divBdr>
        <w:top w:val="none" w:sz="0" w:space="0" w:color="auto"/>
        <w:left w:val="none" w:sz="0" w:space="0" w:color="auto"/>
        <w:bottom w:val="none" w:sz="0" w:space="0" w:color="auto"/>
        <w:right w:val="none" w:sz="0" w:space="0" w:color="auto"/>
      </w:divBdr>
    </w:div>
    <w:div w:id="451362954">
      <w:bodyDiv w:val="1"/>
      <w:marLeft w:val="0"/>
      <w:marRight w:val="0"/>
      <w:marTop w:val="0"/>
      <w:marBottom w:val="0"/>
      <w:divBdr>
        <w:top w:val="none" w:sz="0" w:space="0" w:color="auto"/>
        <w:left w:val="none" w:sz="0" w:space="0" w:color="auto"/>
        <w:bottom w:val="none" w:sz="0" w:space="0" w:color="auto"/>
        <w:right w:val="none" w:sz="0" w:space="0" w:color="auto"/>
      </w:divBdr>
    </w:div>
    <w:div w:id="451557580">
      <w:bodyDiv w:val="1"/>
      <w:marLeft w:val="0"/>
      <w:marRight w:val="0"/>
      <w:marTop w:val="0"/>
      <w:marBottom w:val="0"/>
      <w:divBdr>
        <w:top w:val="none" w:sz="0" w:space="0" w:color="auto"/>
        <w:left w:val="none" w:sz="0" w:space="0" w:color="auto"/>
        <w:bottom w:val="none" w:sz="0" w:space="0" w:color="auto"/>
        <w:right w:val="none" w:sz="0" w:space="0" w:color="auto"/>
      </w:divBdr>
    </w:div>
    <w:div w:id="467552777">
      <w:bodyDiv w:val="1"/>
      <w:marLeft w:val="0"/>
      <w:marRight w:val="0"/>
      <w:marTop w:val="0"/>
      <w:marBottom w:val="0"/>
      <w:divBdr>
        <w:top w:val="none" w:sz="0" w:space="0" w:color="auto"/>
        <w:left w:val="none" w:sz="0" w:space="0" w:color="auto"/>
        <w:bottom w:val="none" w:sz="0" w:space="0" w:color="auto"/>
        <w:right w:val="none" w:sz="0" w:space="0" w:color="auto"/>
      </w:divBdr>
    </w:div>
    <w:div w:id="479661483">
      <w:bodyDiv w:val="1"/>
      <w:marLeft w:val="0"/>
      <w:marRight w:val="0"/>
      <w:marTop w:val="0"/>
      <w:marBottom w:val="0"/>
      <w:divBdr>
        <w:top w:val="none" w:sz="0" w:space="0" w:color="auto"/>
        <w:left w:val="none" w:sz="0" w:space="0" w:color="auto"/>
        <w:bottom w:val="none" w:sz="0" w:space="0" w:color="auto"/>
        <w:right w:val="none" w:sz="0" w:space="0" w:color="auto"/>
      </w:divBdr>
    </w:div>
    <w:div w:id="481165904">
      <w:bodyDiv w:val="1"/>
      <w:marLeft w:val="0"/>
      <w:marRight w:val="0"/>
      <w:marTop w:val="0"/>
      <w:marBottom w:val="0"/>
      <w:divBdr>
        <w:top w:val="none" w:sz="0" w:space="0" w:color="auto"/>
        <w:left w:val="none" w:sz="0" w:space="0" w:color="auto"/>
        <w:bottom w:val="none" w:sz="0" w:space="0" w:color="auto"/>
        <w:right w:val="none" w:sz="0" w:space="0" w:color="auto"/>
      </w:divBdr>
    </w:div>
    <w:div w:id="482624716">
      <w:bodyDiv w:val="1"/>
      <w:marLeft w:val="0"/>
      <w:marRight w:val="0"/>
      <w:marTop w:val="0"/>
      <w:marBottom w:val="0"/>
      <w:divBdr>
        <w:top w:val="none" w:sz="0" w:space="0" w:color="auto"/>
        <w:left w:val="none" w:sz="0" w:space="0" w:color="auto"/>
        <w:bottom w:val="none" w:sz="0" w:space="0" w:color="auto"/>
        <w:right w:val="none" w:sz="0" w:space="0" w:color="auto"/>
      </w:divBdr>
    </w:div>
    <w:div w:id="485435874">
      <w:bodyDiv w:val="1"/>
      <w:marLeft w:val="0"/>
      <w:marRight w:val="0"/>
      <w:marTop w:val="0"/>
      <w:marBottom w:val="0"/>
      <w:divBdr>
        <w:top w:val="none" w:sz="0" w:space="0" w:color="auto"/>
        <w:left w:val="none" w:sz="0" w:space="0" w:color="auto"/>
        <w:bottom w:val="none" w:sz="0" w:space="0" w:color="auto"/>
        <w:right w:val="none" w:sz="0" w:space="0" w:color="auto"/>
      </w:divBdr>
    </w:div>
    <w:div w:id="489716828">
      <w:bodyDiv w:val="1"/>
      <w:marLeft w:val="0"/>
      <w:marRight w:val="0"/>
      <w:marTop w:val="0"/>
      <w:marBottom w:val="0"/>
      <w:divBdr>
        <w:top w:val="none" w:sz="0" w:space="0" w:color="auto"/>
        <w:left w:val="none" w:sz="0" w:space="0" w:color="auto"/>
        <w:bottom w:val="none" w:sz="0" w:space="0" w:color="auto"/>
        <w:right w:val="none" w:sz="0" w:space="0" w:color="auto"/>
      </w:divBdr>
    </w:div>
    <w:div w:id="499203777">
      <w:bodyDiv w:val="1"/>
      <w:marLeft w:val="0"/>
      <w:marRight w:val="0"/>
      <w:marTop w:val="0"/>
      <w:marBottom w:val="0"/>
      <w:divBdr>
        <w:top w:val="none" w:sz="0" w:space="0" w:color="auto"/>
        <w:left w:val="none" w:sz="0" w:space="0" w:color="auto"/>
        <w:bottom w:val="none" w:sz="0" w:space="0" w:color="auto"/>
        <w:right w:val="none" w:sz="0" w:space="0" w:color="auto"/>
      </w:divBdr>
    </w:div>
    <w:div w:id="507335787">
      <w:bodyDiv w:val="1"/>
      <w:marLeft w:val="0"/>
      <w:marRight w:val="0"/>
      <w:marTop w:val="0"/>
      <w:marBottom w:val="0"/>
      <w:divBdr>
        <w:top w:val="none" w:sz="0" w:space="0" w:color="auto"/>
        <w:left w:val="none" w:sz="0" w:space="0" w:color="auto"/>
        <w:bottom w:val="none" w:sz="0" w:space="0" w:color="auto"/>
        <w:right w:val="none" w:sz="0" w:space="0" w:color="auto"/>
      </w:divBdr>
    </w:div>
    <w:div w:id="516506819">
      <w:bodyDiv w:val="1"/>
      <w:marLeft w:val="0"/>
      <w:marRight w:val="0"/>
      <w:marTop w:val="0"/>
      <w:marBottom w:val="0"/>
      <w:divBdr>
        <w:top w:val="none" w:sz="0" w:space="0" w:color="auto"/>
        <w:left w:val="none" w:sz="0" w:space="0" w:color="auto"/>
        <w:bottom w:val="none" w:sz="0" w:space="0" w:color="auto"/>
        <w:right w:val="none" w:sz="0" w:space="0" w:color="auto"/>
      </w:divBdr>
    </w:div>
    <w:div w:id="522288008">
      <w:bodyDiv w:val="1"/>
      <w:marLeft w:val="0"/>
      <w:marRight w:val="0"/>
      <w:marTop w:val="0"/>
      <w:marBottom w:val="0"/>
      <w:divBdr>
        <w:top w:val="none" w:sz="0" w:space="0" w:color="auto"/>
        <w:left w:val="none" w:sz="0" w:space="0" w:color="auto"/>
        <w:bottom w:val="none" w:sz="0" w:space="0" w:color="auto"/>
        <w:right w:val="none" w:sz="0" w:space="0" w:color="auto"/>
      </w:divBdr>
    </w:div>
    <w:div w:id="523177391">
      <w:bodyDiv w:val="1"/>
      <w:marLeft w:val="0"/>
      <w:marRight w:val="0"/>
      <w:marTop w:val="0"/>
      <w:marBottom w:val="0"/>
      <w:divBdr>
        <w:top w:val="none" w:sz="0" w:space="0" w:color="auto"/>
        <w:left w:val="none" w:sz="0" w:space="0" w:color="auto"/>
        <w:bottom w:val="none" w:sz="0" w:space="0" w:color="auto"/>
        <w:right w:val="none" w:sz="0" w:space="0" w:color="auto"/>
      </w:divBdr>
      <w:divsChild>
        <w:div w:id="2035305541">
          <w:marLeft w:val="0"/>
          <w:marRight w:val="0"/>
          <w:marTop w:val="0"/>
          <w:marBottom w:val="0"/>
          <w:divBdr>
            <w:top w:val="none" w:sz="0" w:space="0" w:color="auto"/>
            <w:left w:val="none" w:sz="0" w:space="0" w:color="auto"/>
            <w:bottom w:val="none" w:sz="0" w:space="0" w:color="auto"/>
            <w:right w:val="none" w:sz="0" w:space="0" w:color="auto"/>
          </w:divBdr>
          <w:divsChild>
            <w:div w:id="232476464">
              <w:marLeft w:val="0"/>
              <w:marRight w:val="0"/>
              <w:marTop w:val="0"/>
              <w:marBottom w:val="0"/>
              <w:divBdr>
                <w:top w:val="none" w:sz="0" w:space="0" w:color="auto"/>
                <w:left w:val="none" w:sz="0" w:space="0" w:color="auto"/>
                <w:bottom w:val="none" w:sz="0" w:space="0" w:color="auto"/>
                <w:right w:val="none" w:sz="0" w:space="0" w:color="auto"/>
              </w:divBdr>
              <w:divsChild>
                <w:div w:id="1289898036">
                  <w:marLeft w:val="0"/>
                  <w:marRight w:val="0"/>
                  <w:marTop w:val="0"/>
                  <w:marBottom w:val="0"/>
                  <w:divBdr>
                    <w:top w:val="none" w:sz="0" w:space="0" w:color="auto"/>
                    <w:left w:val="none" w:sz="0" w:space="0" w:color="auto"/>
                    <w:bottom w:val="none" w:sz="0" w:space="0" w:color="auto"/>
                    <w:right w:val="none" w:sz="0" w:space="0" w:color="auto"/>
                  </w:divBdr>
                  <w:divsChild>
                    <w:div w:id="701907651">
                      <w:marLeft w:val="0"/>
                      <w:marRight w:val="0"/>
                      <w:marTop w:val="0"/>
                      <w:marBottom w:val="0"/>
                      <w:divBdr>
                        <w:top w:val="none" w:sz="0" w:space="0" w:color="auto"/>
                        <w:left w:val="none" w:sz="0" w:space="0" w:color="auto"/>
                        <w:bottom w:val="none" w:sz="0" w:space="0" w:color="auto"/>
                        <w:right w:val="none" w:sz="0" w:space="0" w:color="auto"/>
                      </w:divBdr>
                      <w:divsChild>
                        <w:div w:id="890455503">
                          <w:marLeft w:val="0"/>
                          <w:marRight w:val="0"/>
                          <w:marTop w:val="0"/>
                          <w:marBottom w:val="0"/>
                          <w:divBdr>
                            <w:top w:val="none" w:sz="0" w:space="0" w:color="auto"/>
                            <w:left w:val="none" w:sz="0" w:space="0" w:color="auto"/>
                            <w:bottom w:val="none" w:sz="0" w:space="0" w:color="auto"/>
                            <w:right w:val="none" w:sz="0" w:space="0" w:color="auto"/>
                          </w:divBdr>
                          <w:divsChild>
                            <w:div w:id="1392734534">
                              <w:marLeft w:val="0"/>
                              <w:marRight w:val="0"/>
                              <w:marTop w:val="0"/>
                              <w:marBottom w:val="0"/>
                              <w:divBdr>
                                <w:top w:val="none" w:sz="0" w:space="0" w:color="auto"/>
                                <w:left w:val="none" w:sz="0" w:space="0" w:color="auto"/>
                                <w:bottom w:val="none" w:sz="0" w:space="0" w:color="auto"/>
                                <w:right w:val="none" w:sz="0" w:space="0" w:color="auto"/>
                              </w:divBdr>
                              <w:divsChild>
                                <w:div w:id="144900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4172552">
      <w:bodyDiv w:val="1"/>
      <w:marLeft w:val="0"/>
      <w:marRight w:val="0"/>
      <w:marTop w:val="0"/>
      <w:marBottom w:val="0"/>
      <w:divBdr>
        <w:top w:val="none" w:sz="0" w:space="0" w:color="auto"/>
        <w:left w:val="none" w:sz="0" w:space="0" w:color="auto"/>
        <w:bottom w:val="none" w:sz="0" w:space="0" w:color="auto"/>
        <w:right w:val="none" w:sz="0" w:space="0" w:color="auto"/>
      </w:divBdr>
    </w:div>
    <w:div w:id="532117111">
      <w:bodyDiv w:val="1"/>
      <w:marLeft w:val="0"/>
      <w:marRight w:val="0"/>
      <w:marTop w:val="0"/>
      <w:marBottom w:val="0"/>
      <w:divBdr>
        <w:top w:val="none" w:sz="0" w:space="0" w:color="auto"/>
        <w:left w:val="none" w:sz="0" w:space="0" w:color="auto"/>
        <w:bottom w:val="none" w:sz="0" w:space="0" w:color="auto"/>
        <w:right w:val="none" w:sz="0" w:space="0" w:color="auto"/>
      </w:divBdr>
    </w:div>
    <w:div w:id="536743055">
      <w:bodyDiv w:val="1"/>
      <w:marLeft w:val="0"/>
      <w:marRight w:val="0"/>
      <w:marTop w:val="0"/>
      <w:marBottom w:val="0"/>
      <w:divBdr>
        <w:top w:val="none" w:sz="0" w:space="0" w:color="auto"/>
        <w:left w:val="none" w:sz="0" w:space="0" w:color="auto"/>
        <w:bottom w:val="none" w:sz="0" w:space="0" w:color="auto"/>
        <w:right w:val="none" w:sz="0" w:space="0" w:color="auto"/>
      </w:divBdr>
    </w:div>
    <w:div w:id="537009227">
      <w:bodyDiv w:val="1"/>
      <w:marLeft w:val="0"/>
      <w:marRight w:val="0"/>
      <w:marTop w:val="0"/>
      <w:marBottom w:val="0"/>
      <w:divBdr>
        <w:top w:val="none" w:sz="0" w:space="0" w:color="auto"/>
        <w:left w:val="none" w:sz="0" w:space="0" w:color="auto"/>
        <w:bottom w:val="none" w:sz="0" w:space="0" w:color="auto"/>
        <w:right w:val="none" w:sz="0" w:space="0" w:color="auto"/>
      </w:divBdr>
    </w:div>
    <w:div w:id="545410790">
      <w:bodyDiv w:val="1"/>
      <w:marLeft w:val="0"/>
      <w:marRight w:val="0"/>
      <w:marTop w:val="0"/>
      <w:marBottom w:val="0"/>
      <w:divBdr>
        <w:top w:val="none" w:sz="0" w:space="0" w:color="auto"/>
        <w:left w:val="none" w:sz="0" w:space="0" w:color="auto"/>
        <w:bottom w:val="none" w:sz="0" w:space="0" w:color="auto"/>
        <w:right w:val="none" w:sz="0" w:space="0" w:color="auto"/>
      </w:divBdr>
    </w:div>
    <w:div w:id="580020472">
      <w:bodyDiv w:val="1"/>
      <w:marLeft w:val="0"/>
      <w:marRight w:val="0"/>
      <w:marTop w:val="0"/>
      <w:marBottom w:val="0"/>
      <w:divBdr>
        <w:top w:val="none" w:sz="0" w:space="0" w:color="auto"/>
        <w:left w:val="none" w:sz="0" w:space="0" w:color="auto"/>
        <w:bottom w:val="none" w:sz="0" w:space="0" w:color="auto"/>
        <w:right w:val="none" w:sz="0" w:space="0" w:color="auto"/>
      </w:divBdr>
    </w:div>
    <w:div w:id="585892056">
      <w:bodyDiv w:val="1"/>
      <w:marLeft w:val="0"/>
      <w:marRight w:val="0"/>
      <w:marTop w:val="0"/>
      <w:marBottom w:val="0"/>
      <w:divBdr>
        <w:top w:val="none" w:sz="0" w:space="0" w:color="auto"/>
        <w:left w:val="none" w:sz="0" w:space="0" w:color="auto"/>
        <w:bottom w:val="none" w:sz="0" w:space="0" w:color="auto"/>
        <w:right w:val="none" w:sz="0" w:space="0" w:color="auto"/>
      </w:divBdr>
    </w:div>
    <w:div w:id="586305423">
      <w:bodyDiv w:val="1"/>
      <w:marLeft w:val="0"/>
      <w:marRight w:val="0"/>
      <w:marTop w:val="0"/>
      <w:marBottom w:val="0"/>
      <w:divBdr>
        <w:top w:val="none" w:sz="0" w:space="0" w:color="auto"/>
        <w:left w:val="none" w:sz="0" w:space="0" w:color="auto"/>
        <w:bottom w:val="none" w:sz="0" w:space="0" w:color="auto"/>
        <w:right w:val="none" w:sz="0" w:space="0" w:color="auto"/>
      </w:divBdr>
    </w:div>
    <w:div w:id="592008297">
      <w:bodyDiv w:val="1"/>
      <w:marLeft w:val="0"/>
      <w:marRight w:val="0"/>
      <w:marTop w:val="0"/>
      <w:marBottom w:val="0"/>
      <w:divBdr>
        <w:top w:val="none" w:sz="0" w:space="0" w:color="auto"/>
        <w:left w:val="none" w:sz="0" w:space="0" w:color="auto"/>
        <w:bottom w:val="none" w:sz="0" w:space="0" w:color="auto"/>
        <w:right w:val="none" w:sz="0" w:space="0" w:color="auto"/>
      </w:divBdr>
    </w:div>
    <w:div w:id="612249212">
      <w:bodyDiv w:val="1"/>
      <w:marLeft w:val="0"/>
      <w:marRight w:val="0"/>
      <w:marTop w:val="0"/>
      <w:marBottom w:val="0"/>
      <w:divBdr>
        <w:top w:val="none" w:sz="0" w:space="0" w:color="auto"/>
        <w:left w:val="none" w:sz="0" w:space="0" w:color="auto"/>
        <w:bottom w:val="none" w:sz="0" w:space="0" w:color="auto"/>
        <w:right w:val="none" w:sz="0" w:space="0" w:color="auto"/>
      </w:divBdr>
    </w:div>
    <w:div w:id="616832534">
      <w:bodyDiv w:val="1"/>
      <w:marLeft w:val="0"/>
      <w:marRight w:val="0"/>
      <w:marTop w:val="0"/>
      <w:marBottom w:val="0"/>
      <w:divBdr>
        <w:top w:val="none" w:sz="0" w:space="0" w:color="auto"/>
        <w:left w:val="none" w:sz="0" w:space="0" w:color="auto"/>
        <w:bottom w:val="none" w:sz="0" w:space="0" w:color="auto"/>
        <w:right w:val="none" w:sz="0" w:space="0" w:color="auto"/>
      </w:divBdr>
    </w:div>
    <w:div w:id="617834110">
      <w:bodyDiv w:val="1"/>
      <w:marLeft w:val="0"/>
      <w:marRight w:val="0"/>
      <w:marTop w:val="0"/>
      <w:marBottom w:val="0"/>
      <w:divBdr>
        <w:top w:val="none" w:sz="0" w:space="0" w:color="auto"/>
        <w:left w:val="none" w:sz="0" w:space="0" w:color="auto"/>
        <w:bottom w:val="none" w:sz="0" w:space="0" w:color="auto"/>
        <w:right w:val="none" w:sz="0" w:space="0" w:color="auto"/>
      </w:divBdr>
    </w:div>
    <w:div w:id="626545132">
      <w:bodyDiv w:val="1"/>
      <w:marLeft w:val="0"/>
      <w:marRight w:val="0"/>
      <w:marTop w:val="0"/>
      <w:marBottom w:val="0"/>
      <w:divBdr>
        <w:top w:val="none" w:sz="0" w:space="0" w:color="auto"/>
        <w:left w:val="none" w:sz="0" w:space="0" w:color="auto"/>
        <w:bottom w:val="none" w:sz="0" w:space="0" w:color="auto"/>
        <w:right w:val="none" w:sz="0" w:space="0" w:color="auto"/>
      </w:divBdr>
    </w:div>
    <w:div w:id="631712366">
      <w:bodyDiv w:val="1"/>
      <w:marLeft w:val="0"/>
      <w:marRight w:val="0"/>
      <w:marTop w:val="0"/>
      <w:marBottom w:val="0"/>
      <w:divBdr>
        <w:top w:val="none" w:sz="0" w:space="0" w:color="auto"/>
        <w:left w:val="none" w:sz="0" w:space="0" w:color="auto"/>
        <w:bottom w:val="none" w:sz="0" w:space="0" w:color="auto"/>
        <w:right w:val="none" w:sz="0" w:space="0" w:color="auto"/>
      </w:divBdr>
    </w:div>
    <w:div w:id="633868395">
      <w:bodyDiv w:val="1"/>
      <w:marLeft w:val="0"/>
      <w:marRight w:val="0"/>
      <w:marTop w:val="0"/>
      <w:marBottom w:val="0"/>
      <w:divBdr>
        <w:top w:val="none" w:sz="0" w:space="0" w:color="auto"/>
        <w:left w:val="none" w:sz="0" w:space="0" w:color="auto"/>
        <w:bottom w:val="none" w:sz="0" w:space="0" w:color="auto"/>
        <w:right w:val="none" w:sz="0" w:space="0" w:color="auto"/>
      </w:divBdr>
    </w:div>
    <w:div w:id="636449763">
      <w:bodyDiv w:val="1"/>
      <w:marLeft w:val="0"/>
      <w:marRight w:val="0"/>
      <w:marTop w:val="0"/>
      <w:marBottom w:val="0"/>
      <w:divBdr>
        <w:top w:val="none" w:sz="0" w:space="0" w:color="auto"/>
        <w:left w:val="none" w:sz="0" w:space="0" w:color="auto"/>
        <w:bottom w:val="none" w:sz="0" w:space="0" w:color="auto"/>
        <w:right w:val="none" w:sz="0" w:space="0" w:color="auto"/>
      </w:divBdr>
    </w:div>
    <w:div w:id="636689099">
      <w:bodyDiv w:val="1"/>
      <w:marLeft w:val="0"/>
      <w:marRight w:val="0"/>
      <w:marTop w:val="0"/>
      <w:marBottom w:val="0"/>
      <w:divBdr>
        <w:top w:val="none" w:sz="0" w:space="0" w:color="auto"/>
        <w:left w:val="none" w:sz="0" w:space="0" w:color="auto"/>
        <w:bottom w:val="none" w:sz="0" w:space="0" w:color="auto"/>
        <w:right w:val="none" w:sz="0" w:space="0" w:color="auto"/>
      </w:divBdr>
    </w:div>
    <w:div w:id="647904028">
      <w:bodyDiv w:val="1"/>
      <w:marLeft w:val="0"/>
      <w:marRight w:val="0"/>
      <w:marTop w:val="0"/>
      <w:marBottom w:val="0"/>
      <w:divBdr>
        <w:top w:val="none" w:sz="0" w:space="0" w:color="auto"/>
        <w:left w:val="none" w:sz="0" w:space="0" w:color="auto"/>
        <w:bottom w:val="none" w:sz="0" w:space="0" w:color="auto"/>
        <w:right w:val="none" w:sz="0" w:space="0" w:color="auto"/>
      </w:divBdr>
    </w:div>
    <w:div w:id="648558973">
      <w:bodyDiv w:val="1"/>
      <w:marLeft w:val="0"/>
      <w:marRight w:val="0"/>
      <w:marTop w:val="0"/>
      <w:marBottom w:val="0"/>
      <w:divBdr>
        <w:top w:val="none" w:sz="0" w:space="0" w:color="auto"/>
        <w:left w:val="none" w:sz="0" w:space="0" w:color="auto"/>
        <w:bottom w:val="none" w:sz="0" w:space="0" w:color="auto"/>
        <w:right w:val="none" w:sz="0" w:space="0" w:color="auto"/>
      </w:divBdr>
    </w:div>
    <w:div w:id="649217008">
      <w:bodyDiv w:val="1"/>
      <w:marLeft w:val="0"/>
      <w:marRight w:val="0"/>
      <w:marTop w:val="0"/>
      <w:marBottom w:val="0"/>
      <w:divBdr>
        <w:top w:val="none" w:sz="0" w:space="0" w:color="auto"/>
        <w:left w:val="none" w:sz="0" w:space="0" w:color="auto"/>
        <w:bottom w:val="none" w:sz="0" w:space="0" w:color="auto"/>
        <w:right w:val="none" w:sz="0" w:space="0" w:color="auto"/>
      </w:divBdr>
    </w:div>
    <w:div w:id="649559351">
      <w:bodyDiv w:val="1"/>
      <w:marLeft w:val="0"/>
      <w:marRight w:val="0"/>
      <w:marTop w:val="0"/>
      <w:marBottom w:val="0"/>
      <w:divBdr>
        <w:top w:val="none" w:sz="0" w:space="0" w:color="auto"/>
        <w:left w:val="none" w:sz="0" w:space="0" w:color="auto"/>
        <w:bottom w:val="none" w:sz="0" w:space="0" w:color="auto"/>
        <w:right w:val="none" w:sz="0" w:space="0" w:color="auto"/>
      </w:divBdr>
    </w:div>
    <w:div w:id="649872164">
      <w:bodyDiv w:val="1"/>
      <w:marLeft w:val="0"/>
      <w:marRight w:val="0"/>
      <w:marTop w:val="0"/>
      <w:marBottom w:val="0"/>
      <w:divBdr>
        <w:top w:val="none" w:sz="0" w:space="0" w:color="auto"/>
        <w:left w:val="none" w:sz="0" w:space="0" w:color="auto"/>
        <w:bottom w:val="none" w:sz="0" w:space="0" w:color="auto"/>
        <w:right w:val="none" w:sz="0" w:space="0" w:color="auto"/>
      </w:divBdr>
    </w:div>
    <w:div w:id="653292413">
      <w:bodyDiv w:val="1"/>
      <w:marLeft w:val="0"/>
      <w:marRight w:val="0"/>
      <w:marTop w:val="0"/>
      <w:marBottom w:val="0"/>
      <w:divBdr>
        <w:top w:val="none" w:sz="0" w:space="0" w:color="auto"/>
        <w:left w:val="none" w:sz="0" w:space="0" w:color="auto"/>
        <w:bottom w:val="none" w:sz="0" w:space="0" w:color="auto"/>
        <w:right w:val="none" w:sz="0" w:space="0" w:color="auto"/>
      </w:divBdr>
    </w:div>
    <w:div w:id="654266045">
      <w:bodyDiv w:val="1"/>
      <w:marLeft w:val="0"/>
      <w:marRight w:val="0"/>
      <w:marTop w:val="0"/>
      <w:marBottom w:val="0"/>
      <w:divBdr>
        <w:top w:val="none" w:sz="0" w:space="0" w:color="auto"/>
        <w:left w:val="none" w:sz="0" w:space="0" w:color="auto"/>
        <w:bottom w:val="none" w:sz="0" w:space="0" w:color="auto"/>
        <w:right w:val="none" w:sz="0" w:space="0" w:color="auto"/>
      </w:divBdr>
    </w:div>
    <w:div w:id="656425213">
      <w:bodyDiv w:val="1"/>
      <w:marLeft w:val="0"/>
      <w:marRight w:val="0"/>
      <w:marTop w:val="0"/>
      <w:marBottom w:val="0"/>
      <w:divBdr>
        <w:top w:val="none" w:sz="0" w:space="0" w:color="auto"/>
        <w:left w:val="none" w:sz="0" w:space="0" w:color="auto"/>
        <w:bottom w:val="none" w:sz="0" w:space="0" w:color="auto"/>
        <w:right w:val="none" w:sz="0" w:space="0" w:color="auto"/>
      </w:divBdr>
    </w:div>
    <w:div w:id="656808783">
      <w:bodyDiv w:val="1"/>
      <w:marLeft w:val="0"/>
      <w:marRight w:val="0"/>
      <w:marTop w:val="0"/>
      <w:marBottom w:val="0"/>
      <w:divBdr>
        <w:top w:val="none" w:sz="0" w:space="0" w:color="auto"/>
        <w:left w:val="none" w:sz="0" w:space="0" w:color="auto"/>
        <w:bottom w:val="none" w:sz="0" w:space="0" w:color="auto"/>
        <w:right w:val="none" w:sz="0" w:space="0" w:color="auto"/>
      </w:divBdr>
    </w:div>
    <w:div w:id="658269230">
      <w:bodyDiv w:val="1"/>
      <w:marLeft w:val="0"/>
      <w:marRight w:val="0"/>
      <w:marTop w:val="0"/>
      <w:marBottom w:val="0"/>
      <w:divBdr>
        <w:top w:val="none" w:sz="0" w:space="0" w:color="auto"/>
        <w:left w:val="none" w:sz="0" w:space="0" w:color="auto"/>
        <w:bottom w:val="none" w:sz="0" w:space="0" w:color="auto"/>
        <w:right w:val="none" w:sz="0" w:space="0" w:color="auto"/>
      </w:divBdr>
    </w:div>
    <w:div w:id="658339668">
      <w:bodyDiv w:val="1"/>
      <w:marLeft w:val="0"/>
      <w:marRight w:val="0"/>
      <w:marTop w:val="0"/>
      <w:marBottom w:val="0"/>
      <w:divBdr>
        <w:top w:val="none" w:sz="0" w:space="0" w:color="auto"/>
        <w:left w:val="none" w:sz="0" w:space="0" w:color="auto"/>
        <w:bottom w:val="none" w:sz="0" w:space="0" w:color="auto"/>
        <w:right w:val="none" w:sz="0" w:space="0" w:color="auto"/>
      </w:divBdr>
    </w:div>
    <w:div w:id="660080618">
      <w:bodyDiv w:val="1"/>
      <w:marLeft w:val="0"/>
      <w:marRight w:val="0"/>
      <w:marTop w:val="0"/>
      <w:marBottom w:val="0"/>
      <w:divBdr>
        <w:top w:val="none" w:sz="0" w:space="0" w:color="auto"/>
        <w:left w:val="none" w:sz="0" w:space="0" w:color="auto"/>
        <w:bottom w:val="none" w:sz="0" w:space="0" w:color="auto"/>
        <w:right w:val="none" w:sz="0" w:space="0" w:color="auto"/>
      </w:divBdr>
    </w:div>
    <w:div w:id="660695321">
      <w:bodyDiv w:val="1"/>
      <w:marLeft w:val="0"/>
      <w:marRight w:val="0"/>
      <w:marTop w:val="0"/>
      <w:marBottom w:val="0"/>
      <w:divBdr>
        <w:top w:val="none" w:sz="0" w:space="0" w:color="auto"/>
        <w:left w:val="none" w:sz="0" w:space="0" w:color="auto"/>
        <w:bottom w:val="none" w:sz="0" w:space="0" w:color="auto"/>
        <w:right w:val="none" w:sz="0" w:space="0" w:color="auto"/>
      </w:divBdr>
    </w:div>
    <w:div w:id="662898115">
      <w:bodyDiv w:val="1"/>
      <w:marLeft w:val="0"/>
      <w:marRight w:val="0"/>
      <w:marTop w:val="0"/>
      <w:marBottom w:val="0"/>
      <w:divBdr>
        <w:top w:val="none" w:sz="0" w:space="0" w:color="auto"/>
        <w:left w:val="none" w:sz="0" w:space="0" w:color="auto"/>
        <w:bottom w:val="none" w:sz="0" w:space="0" w:color="auto"/>
        <w:right w:val="none" w:sz="0" w:space="0" w:color="auto"/>
      </w:divBdr>
    </w:div>
    <w:div w:id="676469777">
      <w:bodyDiv w:val="1"/>
      <w:marLeft w:val="0"/>
      <w:marRight w:val="0"/>
      <w:marTop w:val="0"/>
      <w:marBottom w:val="0"/>
      <w:divBdr>
        <w:top w:val="none" w:sz="0" w:space="0" w:color="auto"/>
        <w:left w:val="none" w:sz="0" w:space="0" w:color="auto"/>
        <w:bottom w:val="none" w:sz="0" w:space="0" w:color="auto"/>
        <w:right w:val="none" w:sz="0" w:space="0" w:color="auto"/>
      </w:divBdr>
    </w:div>
    <w:div w:id="678968887">
      <w:bodyDiv w:val="1"/>
      <w:marLeft w:val="0"/>
      <w:marRight w:val="0"/>
      <w:marTop w:val="0"/>
      <w:marBottom w:val="0"/>
      <w:divBdr>
        <w:top w:val="none" w:sz="0" w:space="0" w:color="auto"/>
        <w:left w:val="none" w:sz="0" w:space="0" w:color="auto"/>
        <w:bottom w:val="none" w:sz="0" w:space="0" w:color="auto"/>
        <w:right w:val="none" w:sz="0" w:space="0" w:color="auto"/>
      </w:divBdr>
    </w:div>
    <w:div w:id="679309674">
      <w:bodyDiv w:val="1"/>
      <w:marLeft w:val="0"/>
      <w:marRight w:val="0"/>
      <w:marTop w:val="0"/>
      <w:marBottom w:val="0"/>
      <w:divBdr>
        <w:top w:val="none" w:sz="0" w:space="0" w:color="auto"/>
        <w:left w:val="none" w:sz="0" w:space="0" w:color="auto"/>
        <w:bottom w:val="none" w:sz="0" w:space="0" w:color="auto"/>
        <w:right w:val="none" w:sz="0" w:space="0" w:color="auto"/>
      </w:divBdr>
    </w:div>
    <w:div w:id="679964354">
      <w:bodyDiv w:val="1"/>
      <w:marLeft w:val="0"/>
      <w:marRight w:val="0"/>
      <w:marTop w:val="0"/>
      <w:marBottom w:val="0"/>
      <w:divBdr>
        <w:top w:val="none" w:sz="0" w:space="0" w:color="auto"/>
        <w:left w:val="none" w:sz="0" w:space="0" w:color="auto"/>
        <w:bottom w:val="none" w:sz="0" w:space="0" w:color="auto"/>
        <w:right w:val="none" w:sz="0" w:space="0" w:color="auto"/>
      </w:divBdr>
    </w:div>
    <w:div w:id="681855144">
      <w:bodyDiv w:val="1"/>
      <w:marLeft w:val="0"/>
      <w:marRight w:val="0"/>
      <w:marTop w:val="0"/>
      <w:marBottom w:val="0"/>
      <w:divBdr>
        <w:top w:val="none" w:sz="0" w:space="0" w:color="auto"/>
        <w:left w:val="none" w:sz="0" w:space="0" w:color="auto"/>
        <w:bottom w:val="none" w:sz="0" w:space="0" w:color="auto"/>
        <w:right w:val="none" w:sz="0" w:space="0" w:color="auto"/>
      </w:divBdr>
    </w:div>
    <w:div w:id="687295001">
      <w:bodyDiv w:val="1"/>
      <w:marLeft w:val="0"/>
      <w:marRight w:val="0"/>
      <w:marTop w:val="0"/>
      <w:marBottom w:val="0"/>
      <w:divBdr>
        <w:top w:val="none" w:sz="0" w:space="0" w:color="auto"/>
        <w:left w:val="none" w:sz="0" w:space="0" w:color="auto"/>
        <w:bottom w:val="none" w:sz="0" w:space="0" w:color="auto"/>
        <w:right w:val="none" w:sz="0" w:space="0" w:color="auto"/>
      </w:divBdr>
    </w:div>
    <w:div w:id="695272321">
      <w:bodyDiv w:val="1"/>
      <w:marLeft w:val="0"/>
      <w:marRight w:val="0"/>
      <w:marTop w:val="0"/>
      <w:marBottom w:val="0"/>
      <w:divBdr>
        <w:top w:val="none" w:sz="0" w:space="0" w:color="auto"/>
        <w:left w:val="none" w:sz="0" w:space="0" w:color="auto"/>
        <w:bottom w:val="none" w:sz="0" w:space="0" w:color="auto"/>
        <w:right w:val="none" w:sz="0" w:space="0" w:color="auto"/>
      </w:divBdr>
    </w:div>
    <w:div w:id="696128315">
      <w:bodyDiv w:val="1"/>
      <w:marLeft w:val="0"/>
      <w:marRight w:val="0"/>
      <w:marTop w:val="0"/>
      <w:marBottom w:val="0"/>
      <w:divBdr>
        <w:top w:val="none" w:sz="0" w:space="0" w:color="auto"/>
        <w:left w:val="none" w:sz="0" w:space="0" w:color="auto"/>
        <w:bottom w:val="none" w:sz="0" w:space="0" w:color="auto"/>
        <w:right w:val="none" w:sz="0" w:space="0" w:color="auto"/>
      </w:divBdr>
    </w:div>
    <w:div w:id="700402758">
      <w:bodyDiv w:val="1"/>
      <w:marLeft w:val="0"/>
      <w:marRight w:val="0"/>
      <w:marTop w:val="0"/>
      <w:marBottom w:val="0"/>
      <w:divBdr>
        <w:top w:val="none" w:sz="0" w:space="0" w:color="auto"/>
        <w:left w:val="none" w:sz="0" w:space="0" w:color="auto"/>
        <w:bottom w:val="none" w:sz="0" w:space="0" w:color="auto"/>
        <w:right w:val="none" w:sz="0" w:space="0" w:color="auto"/>
      </w:divBdr>
    </w:div>
    <w:div w:id="703797960">
      <w:bodyDiv w:val="1"/>
      <w:marLeft w:val="0"/>
      <w:marRight w:val="0"/>
      <w:marTop w:val="0"/>
      <w:marBottom w:val="0"/>
      <w:divBdr>
        <w:top w:val="none" w:sz="0" w:space="0" w:color="auto"/>
        <w:left w:val="none" w:sz="0" w:space="0" w:color="auto"/>
        <w:bottom w:val="none" w:sz="0" w:space="0" w:color="auto"/>
        <w:right w:val="none" w:sz="0" w:space="0" w:color="auto"/>
      </w:divBdr>
    </w:div>
    <w:div w:id="713042482">
      <w:bodyDiv w:val="1"/>
      <w:marLeft w:val="0"/>
      <w:marRight w:val="0"/>
      <w:marTop w:val="0"/>
      <w:marBottom w:val="0"/>
      <w:divBdr>
        <w:top w:val="none" w:sz="0" w:space="0" w:color="auto"/>
        <w:left w:val="none" w:sz="0" w:space="0" w:color="auto"/>
        <w:bottom w:val="none" w:sz="0" w:space="0" w:color="auto"/>
        <w:right w:val="none" w:sz="0" w:space="0" w:color="auto"/>
      </w:divBdr>
    </w:div>
    <w:div w:id="714502779">
      <w:bodyDiv w:val="1"/>
      <w:marLeft w:val="0"/>
      <w:marRight w:val="0"/>
      <w:marTop w:val="0"/>
      <w:marBottom w:val="0"/>
      <w:divBdr>
        <w:top w:val="none" w:sz="0" w:space="0" w:color="auto"/>
        <w:left w:val="none" w:sz="0" w:space="0" w:color="auto"/>
        <w:bottom w:val="none" w:sz="0" w:space="0" w:color="auto"/>
        <w:right w:val="none" w:sz="0" w:space="0" w:color="auto"/>
      </w:divBdr>
    </w:div>
    <w:div w:id="716050131">
      <w:bodyDiv w:val="1"/>
      <w:marLeft w:val="0"/>
      <w:marRight w:val="0"/>
      <w:marTop w:val="0"/>
      <w:marBottom w:val="0"/>
      <w:divBdr>
        <w:top w:val="none" w:sz="0" w:space="0" w:color="auto"/>
        <w:left w:val="none" w:sz="0" w:space="0" w:color="auto"/>
        <w:bottom w:val="none" w:sz="0" w:space="0" w:color="auto"/>
        <w:right w:val="none" w:sz="0" w:space="0" w:color="auto"/>
      </w:divBdr>
    </w:div>
    <w:div w:id="725026078">
      <w:bodyDiv w:val="1"/>
      <w:marLeft w:val="0"/>
      <w:marRight w:val="0"/>
      <w:marTop w:val="0"/>
      <w:marBottom w:val="0"/>
      <w:divBdr>
        <w:top w:val="none" w:sz="0" w:space="0" w:color="auto"/>
        <w:left w:val="none" w:sz="0" w:space="0" w:color="auto"/>
        <w:bottom w:val="none" w:sz="0" w:space="0" w:color="auto"/>
        <w:right w:val="none" w:sz="0" w:space="0" w:color="auto"/>
      </w:divBdr>
    </w:div>
    <w:div w:id="727337821">
      <w:bodyDiv w:val="1"/>
      <w:marLeft w:val="0"/>
      <w:marRight w:val="0"/>
      <w:marTop w:val="0"/>
      <w:marBottom w:val="0"/>
      <w:divBdr>
        <w:top w:val="none" w:sz="0" w:space="0" w:color="auto"/>
        <w:left w:val="none" w:sz="0" w:space="0" w:color="auto"/>
        <w:bottom w:val="none" w:sz="0" w:space="0" w:color="auto"/>
        <w:right w:val="none" w:sz="0" w:space="0" w:color="auto"/>
      </w:divBdr>
    </w:div>
    <w:div w:id="732780784">
      <w:bodyDiv w:val="1"/>
      <w:marLeft w:val="0"/>
      <w:marRight w:val="0"/>
      <w:marTop w:val="0"/>
      <w:marBottom w:val="0"/>
      <w:divBdr>
        <w:top w:val="none" w:sz="0" w:space="0" w:color="auto"/>
        <w:left w:val="none" w:sz="0" w:space="0" w:color="auto"/>
        <w:bottom w:val="none" w:sz="0" w:space="0" w:color="auto"/>
        <w:right w:val="none" w:sz="0" w:space="0" w:color="auto"/>
      </w:divBdr>
    </w:div>
    <w:div w:id="734201147">
      <w:bodyDiv w:val="1"/>
      <w:marLeft w:val="0"/>
      <w:marRight w:val="0"/>
      <w:marTop w:val="0"/>
      <w:marBottom w:val="0"/>
      <w:divBdr>
        <w:top w:val="none" w:sz="0" w:space="0" w:color="auto"/>
        <w:left w:val="none" w:sz="0" w:space="0" w:color="auto"/>
        <w:bottom w:val="none" w:sz="0" w:space="0" w:color="auto"/>
        <w:right w:val="none" w:sz="0" w:space="0" w:color="auto"/>
      </w:divBdr>
    </w:div>
    <w:div w:id="743916769">
      <w:bodyDiv w:val="1"/>
      <w:marLeft w:val="0"/>
      <w:marRight w:val="0"/>
      <w:marTop w:val="0"/>
      <w:marBottom w:val="0"/>
      <w:divBdr>
        <w:top w:val="none" w:sz="0" w:space="0" w:color="auto"/>
        <w:left w:val="none" w:sz="0" w:space="0" w:color="auto"/>
        <w:bottom w:val="none" w:sz="0" w:space="0" w:color="auto"/>
        <w:right w:val="none" w:sz="0" w:space="0" w:color="auto"/>
      </w:divBdr>
    </w:div>
    <w:div w:id="746808300">
      <w:bodyDiv w:val="1"/>
      <w:marLeft w:val="0"/>
      <w:marRight w:val="0"/>
      <w:marTop w:val="0"/>
      <w:marBottom w:val="0"/>
      <w:divBdr>
        <w:top w:val="none" w:sz="0" w:space="0" w:color="auto"/>
        <w:left w:val="none" w:sz="0" w:space="0" w:color="auto"/>
        <w:bottom w:val="none" w:sz="0" w:space="0" w:color="auto"/>
        <w:right w:val="none" w:sz="0" w:space="0" w:color="auto"/>
      </w:divBdr>
    </w:div>
    <w:div w:id="747768567">
      <w:bodyDiv w:val="1"/>
      <w:marLeft w:val="0"/>
      <w:marRight w:val="0"/>
      <w:marTop w:val="0"/>
      <w:marBottom w:val="0"/>
      <w:divBdr>
        <w:top w:val="none" w:sz="0" w:space="0" w:color="auto"/>
        <w:left w:val="none" w:sz="0" w:space="0" w:color="auto"/>
        <w:bottom w:val="none" w:sz="0" w:space="0" w:color="auto"/>
        <w:right w:val="none" w:sz="0" w:space="0" w:color="auto"/>
      </w:divBdr>
    </w:div>
    <w:div w:id="755903908">
      <w:bodyDiv w:val="1"/>
      <w:marLeft w:val="0"/>
      <w:marRight w:val="0"/>
      <w:marTop w:val="0"/>
      <w:marBottom w:val="0"/>
      <w:divBdr>
        <w:top w:val="none" w:sz="0" w:space="0" w:color="auto"/>
        <w:left w:val="none" w:sz="0" w:space="0" w:color="auto"/>
        <w:bottom w:val="none" w:sz="0" w:space="0" w:color="auto"/>
        <w:right w:val="none" w:sz="0" w:space="0" w:color="auto"/>
      </w:divBdr>
    </w:div>
    <w:div w:id="757098160">
      <w:bodyDiv w:val="1"/>
      <w:marLeft w:val="0"/>
      <w:marRight w:val="0"/>
      <w:marTop w:val="0"/>
      <w:marBottom w:val="0"/>
      <w:divBdr>
        <w:top w:val="none" w:sz="0" w:space="0" w:color="auto"/>
        <w:left w:val="none" w:sz="0" w:space="0" w:color="auto"/>
        <w:bottom w:val="none" w:sz="0" w:space="0" w:color="auto"/>
        <w:right w:val="none" w:sz="0" w:space="0" w:color="auto"/>
      </w:divBdr>
    </w:div>
    <w:div w:id="757676191">
      <w:bodyDiv w:val="1"/>
      <w:marLeft w:val="0"/>
      <w:marRight w:val="0"/>
      <w:marTop w:val="0"/>
      <w:marBottom w:val="0"/>
      <w:divBdr>
        <w:top w:val="none" w:sz="0" w:space="0" w:color="auto"/>
        <w:left w:val="none" w:sz="0" w:space="0" w:color="auto"/>
        <w:bottom w:val="none" w:sz="0" w:space="0" w:color="auto"/>
        <w:right w:val="none" w:sz="0" w:space="0" w:color="auto"/>
      </w:divBdr>
    </w:div>
    <w:div w:id="758214604">
      <w:bodyDiv w:val="1"/>
      <w:marLeft w:val="0"/>
      <w:marRight w:val="0"/>
      <w:marTop w:val="0"/>
      <w:marBottom w:val="0"/>
      <w:divBdr>
        <w:top w:val="none" w:sz="0" w:space="0" w:color="auto"/>
        <w:left w:val="none" w:sz="0" w:space="0" w:color="auto"/>
        <w:bottom w:val="none" w:sz="0" w:space="0" w:color="auto"/>
        <w:right w:val="none" w:sz="0" w:space="0" w:color="auto"/>
      </w:divBdr>
    </w:div>
    <w:div w:id="761531644">
      <w:bodyDiv w:val="1"/>
      <w:marLeft w:val="0"/>
      <w:marRight w:val="0"/>
      <w:marTop w:val="0"/>
      <w:marBottom w:val="0"/>
      <w:divBdr>
        <w:top w:val="none" w:sz="0" w:space="0" w:color="auto"/>
        <w:left w:val="none" w:sz="0" w:space="0" w:color="auto"/>
        <w:bottom w:val="none" w:sz="0" w:space="0" w:color="auto"/>
        <w:right w:val="none" w:sz="0" w:space="0" w:color="auto"/>
      </w:divBdr>
    </w:div>
    <w:div w:id="762652682">
      <w:bodyDiv w:val="1"/>
      <w:marLeft w:val="0"/>
      <w:marRight w:val="0"/>
      <w:marTop w:val="0"/>
      <w:marBottom w:val="0"/>
      <w:divBdr>
        <w:top w:val="none" w:sz="0" w:space="0" w:color="auto"/>
        <w:left w:val="none" w:sz="0" w:space="0" w:color="auto"/>
        <w:bottom w:val="none" w:sz="0" w:space="0" w:color="auto"/>
        <w:right w:val="none" w:sz="0" w:space="0" w:color="auto"/>
      </w:divBdr>
    </w:div>
    <w:div w:id="766384311">
      <w:bodyDiv w:val="1"/>
      <w:marLeft w:val="0"/>
      <w:marRight w:val="0"/>
      <w:marTop w:val="0"/>
      <w:marBottom w:val="0"/>
      <w:divBdr>
        <w:top w:val="none" w:sz="0" w:space="0" w:color="auto"/>
        <w:left w:val="none" w:sz="0" w:space="0" w:color="auto"/>
        <w:bottom w:val="none" w:sz="0" w:space="0" w:color="auto"/>
        <w:right w:val="none" w:sz="0" w:space="0" w:color="auto"/>
      </w:divBdr>
    </w:div>
    <w:div w:id="767701057">
      <w:bodyDiv w:val="1"/>
      <w:marLeft w:val="0"/>
      <w:marRight w:val="0"/>
      <w:marTop w:val="0"/>
      <w:marBottom w:val="0"/>
      <w:divBdr>
        <w:top w:val="none" w:sz="0" w:space="0" w:color="auto"/>
        <w:left w:val="none" w:sz="0" w:space="0" w:color="auto"/>
        <w:bottom w:val="none" w:sz="0" w:space="0" w:color="auto"/>
        <w:right w:val="none" w:sz="0" w:space="0" w:color="auto"/>
      </w:divBdr>
    </w:div>
    <w:div w:id="770048183">
      <w:bodyDiv w:val="1"/>
      <w:marLeft w:val="0"/>
      <w:marRight w:val="0"/>
      <w:marTop w:val="0"/>
      <w:marBottom w:val="0"/>
      <w:divBdr>
        <w:top w:val="none" w:sz="0" w:space="0" w:color="auto"/>
        <w:left w:val="none" w:sz="0" w:space="0" w:color="auto"/>
        <w:bottom w:val="none" w:sz="0" w:space="0" w:color="auto"/>
        <w:right w:val="none" w:sz="0" w:space="0" w:color="auto"/>
      </w:divBdr>
    </w:div>
    <w:div w:id="770393089">
      <w:bodyDiv w:val="1"/>
      <w:marLeft w:val="0"/>
      <w:marRight w:val="0"/>
      <w:marTop w:val="0"/>
      <w:marBottom w:val="0"/>
      <w:divBdr>
        <w:top w:val="none" w:sz="0" w:space="0" w:color="auto"/>
        <w:left w:val="none" w:sz="0" w:space="0" w:color="auto"/>
        <w:bottom w:val="none" w:sz="0" w:space="0" w:color="auto"/>
        <w:right w:val="none" w:sz="0" w:space="0" w:color="auto"/>
      </w:divBdr>
    </w:div>
    <w:div w:id="774635557">
      <w:bodyDiv w:val="1"/>
      <w:marLeft w:val="0"/>
      <w:marRight w:val="0"/>
      <w:marTop w:val="0"/>
      <w:marBottom w:val="0"/>
      <w:divBdr>
        <w:top w:val="none" w:sz="0" w:space="0" w:color="auto"/>
        <w:left w:val="none" w:sz="0" w:space="0" w:color="auto"/>
        <w:bottom w:val="none" w:sz="0" w:space="0" w:color="auto"/>
        <w:right w:val="none" w:sz="0" w:space="0" w:color="auto"/>
      </w:divBdr>
    </w:div>
    <w:div w:id="776213964">
      <w:bodyDiv w:val="1"/>
      <w:marLeft w:val="0"/>
      <w:marRight w:val="0"/>
      <w:marTop w:val="0"/>
      <w:marBottom w:val="0"/>
      <w:divBdr>
        <w:top w:val="none" w:sz="0" w:space="0" w:color="auto"/>
        <w:left w:val="none" w:sz="0" w:space="0" w:color="auto"/>
        <w:bottom w:val="none" w:sz="0" w:space="0" w:color="auto"/>
        <w:right w:val="none" w:sz="0" w:space="0" w:color="auto"/>
      </w:divBdr>
    </w:div>
    <w:div w:id="776757992">
      <w:bodyDiv w:val="1"/>
      <w:marLeft w:val="0"/>
      <w:marRight w:val="0"/>
      <w:marTop w:val="0"/>
      <w:marBottom w:val="0"/>
      <w:divBdr>
        <w:top w:val="none" w:sz="0" w:space="0" w:color="auto"/>
        <w:left w:val="none" w:sz="0" w:space="0" w:color="auto"/>
        <w:bottom w:val="none" w:sz="0" w:space="0" w:color="auto"/>
        <w:right w:val="none" w:sz="0" w:space="0" w:color="auto"/>
      </w:divBdr>
    </w:div>
    <w:div w:id="779228150">
      <w:bodyDiv w:val="1"/>
      <w:marLeft w:val="0"/>
      <w:marRight w:val="0"/>
      <w:marTop w:val="0"/>
      <w:marBottom w:val="0"/>
      <w:divBdr>
        <w:top w:val="none" w:sz="0" w:space="0" w:color="auto"/>
        <w:left w:val="none" w:sz="0" w:space="0" w:color="auto"/>
        <w:bottom w:val="none" w:sz="0" w:space="0" w:color="auto"/>
        <w:right w:val="none" w:sz="0" w:space="0" w:color="auto"/>
      </w:divBdr>
    </w:div>
    <w:div w:id="780758258">
      <w:bodyDiv w:val="1"/>
      <w:marLeft w:val="0"/>
      <w:marRight w:val="0"/>
      <w:marTop w:val="0"/>
      <w:marBottom w:val="0"/>
      <w:divBdr>
        <w:top w:val="none" w:sz="0" w:space="0" w:color="auto"/>
        <w:left w:val="none" w:sz="0" w:space="0" w:color="auto"/>
        <w:bottom w:val="none" w:sz="0" w:space="0" w:color="auto"/>
        <w:right w:val="none" w:sz="0" w:space="0" w:color="auto"/>
      </w:divBdr>
    </w:div>
    <w:div w:id="787743021">
      <w:bodyDiv w:val="1"/>
      <w:marLeft w:val="0"/>
      <w:marRight w:val="0"/>
      <w:marTop w:val="0"/>
      <w:marBottom w:val="0"/>
      <w:divBdr>
        <w:top w:val="none" w:sz="0" w:space="0" w:color="auto"/>
        <w:left w:val="none" w:sz="0" w:space="0" w:color="auto"/>
        <w:bottom w:val="none" w:sz="0" w:space="0" w:color="auto"/>
        <w:right w:val="none" w:sz="0" w:space="0" w:color="auto"/>
      </w:divBdr>
    </w:div>
    <w:div w:id="789057890">
      <w:bodyDiv w:val="1"/>
      <w:marLeft w:val="0"/>
      <w:marRight w:val="0"/>
      <w:marTop w:val="0"/>
      <w:marBottom w:val="0"/>
      <w:divBdr>
        <w:top w:val="none" w:sz="0" w:space="0" w:color="auto"/>
        <w:left w:val="none" w:sz="0" w:space="0" w:color="auto"/>
        <w:bottom w:val="none" w:sz="0" w:space="0" w:color="auto"/>
        <w:right w:val="none" w:sz="0" w:space="0" w:color="auto"/>
      </w:divBdr>
    </w:div>
    <w:div w:id="789980630">
      <w:bodyDiv w:val="1"/>
      <w:marLeft w:val="0"/>
      <w:marRight w:val="0"/>
      <w:marTop w:val="0"/>
      <w:marBottom w:val="0"/>
      <w:divBdr>
        <w:top w:val="none" w:sz="0" w:space="0" w:color="auto"/>
        <w:left w:val="none" w:sz="0" w:space="0" w:color="auto"/>
        <w:bottom w:val="none" w:sz="0" w:space="0" w:color="auto"/>
        <w:right w:val="none" w:sz="0" w:space="0" w:color="auto"/>
      </w:divBdr>
    </w:div>
    <w:div w:id="797802068">
      <w:bodyDiv w:val="1"/>
      <w:marLeft w:val="0"/>
      <w:marRight w:val="0"/>
      <w:marTop w:val="0"/>
      <w:marBottom w:val="0"/>
      <w:divBdr>
        <w:top w:val="none" w:sz="0" w:space="0" w:color="auto"/>
        <w:left w:val="none" w:sz="0" w:space="0" w:color="auto"/>
        <w:bottom w:val="none" w:sz="0" w:space="0" w:color="auto"/>
        <w:right w:val="none" w:sz="0" w:space="0" w:color="auto"/>
      </w:divBdr>
    </w:div>
    <w:div w:id="806167340">
      <w:bodyDiv w:val="1"/>
      <w:marLeft w:val="0"/>
      <w:marRight w:val="0"/>
      <w:marTop w:val="0"/>
      <w:marBottom w:val="0"/>
      <w:divBdr>
        <w:top w:val="none" w:sz="0" w:space="0" w:color="auto"/>
        <w:left w:val="none" w:sz="0" w:space="0" w:color="auto"/>
        <w:bottom w:val="none" w:sz="0" w:space="0" w:color="auto"/>
        <w:right w:val="none" w:sz="0" w:space="0" w:color="auto"/>
      </w:divBdr>
    </w:div>
    <w:div w:id="809323189">
      <w:bodyDiv w:val="1"/>
      <w:marLeft w:val="0"/>
      <w:marRight w:val="0"/>
      <w:marTop w:val="0"/>
      <w:marBottom w:val="0"/>
      <w:divBdr>
        <w:top w:val="none" w:sz="0" w:space="0" w:color="auto"/>
        <w:left w:val="none" w:sz="0" w:space="0" w:color="auto"/>
        <w:bottom w:val="none" w:sz="0" w:space="0" w:color="auto"/>
        <w:right w:val="none" w:sz="0" w:space="0" w:color="auto"/>
      </w:divBdr>
    </w:div>
    <w:div w:id="810637386">
      <w:bodyDiv w:val="1"/>
      <w:marLeft w:val="0"/>
      <w:marRight w:val="0"/>
      <w:marTop w:val="0"/>
      <w:marBottom w:val="0"/>
      <w:divBdr>
        <w:top w:val="none" w:sz="0" w:space="0" w:color="auto"/>
        <w:left w:val="none" w:sz="0" w:space="0" w:color="auto"/>
        <w:bottom w:val="none" w:sz="0" w:space="0" w:color="auto"/>
        <w:right w:val="none" w:sz="0" w:space="0" w:color="auto"/>
      </w:divBdr>
    </w:div>
    <w:div w:id="811098568">
      <w:bodyDiv w:val="1"/>
      <w:marLeft w:val="0"/>
      <w:marRight w:val="0"/>
      <w:marTop w:val="0"/>
      <w:marBottom w:val="0"/>
      <w:divBdr>
        <w:top w:val="none" w:sz="0" w:space="0" w:color="auto"/>
        <w:left w:val="none" w:sz="0" w:space="0" w:color="auto"/>
        <w:bottom w:val="none" w:sz="0" w:space="0" w:color="auto"/>
        <w:right w:val="none" w:sz="0" w:space="0" w:color="auto"/>
      </w:divBdr>
    </w:div>
    <w:div w:id="817919093">
      <w:bodyDiv w:val="1"/>
      <w:marLeft w:val="0"/>
      <w:marRight w:val="0"/>
      <w:marTop w:val="0"/>
      <w:marBottom w:val="0"/>
      <w:divBdr>
        <w:top w:val="none" w:sz="0" w:space="0" w:color="auto"/>
        <w:left w:val="none" w:sz="0" w:space="0" w:color="auto"/>
        <w:bottom w:val="none" w:sz="0" w:space="0" w:color="auto"/>
        <w:right w:val="none" w:sz="0" w:space="0" w:color="auto"/>
      </w:divBdr>
    </w:div>
    <w:div w:id="818109805">
      <w:bodyDiv w:val="1"/>
      <w:marLeft w:val="0"/>
      <w:marRight w:val="0"/>
      <w:marTop w:val="0"/>
      <w:marBottom w:val="0"/>
      <w:divBdr>
        <w:top w:val="none" w:sz="0" w:space="0" w:color="auto"/>
        <w:left w:val="none" w:sz="0" w:space="0" w:color="auto"/>
        <w:bottom w:val="none" w:sz="0" w:space="0" w:color="auto"/>
        <w:right w:val="none" w:sz="0" w:space="0" w:color="auto"/>
      </w:divBdr>
      <w:divsChild>
        <w:div w:id="1622762717">
          <w:marLeft w:val="547"/>
          <w:marRight w:val="0"/>
          <w:marTop w:val="0"/>
          <w:marBottom w:val="0"/>
          <w:divBdr>
            <w:top w:val="none" w:sz="0" w:space="0" w:color="auto"/>
            <w:left w:val="none" w:sz="0" w:space="0" w:color="auto"/>
            <w:bottom w:val="none" w:sz="0" w:space="0" w:color="auto"/>
            <w:right w:val="none" w:sz="0" w:space="0" w:color="auto"/>
          </w:divBdr>
        </w:div>
        <w:div w:id="1134637316">
          <w:marLeft w:val="547"/>
          <w:marRight w:val="0"/>
          <w:marTop w:val="0"/>
          <w:marBottom w:val="0"/>
          <w:divBdr>
            <w:top w:val="none" w:sz="0" w:space="0" w:color="auto"/>
            <w:left w:val="none" w:sz="0" w:space="0" w:color="auto"/>
            <w:bottom w:val="none" w:sz="0" w:space="0" w:color="auto"/>
            <w:right w:val="none" w:sz="0" w:space="0" w:color="auto"/>
          </w:divBdr>
        </w:div>
        <w:div w:id="1555433871">
          <w:marLeft w:val="547"/>
          <w:marRight w:val="0"/>
          <w:marTop w:val="0"/>
          <w:marBottom w:val="0"/>
          <w:divBdr>
            <w:top w:val="none" w:sz="0" w:space="0" w:color="auto"/>
            <w:left w:val="none" w:sz="0" w:space="0" w:color="auto"/>
            <w:bottom w:val="none" w:sz="0" w:space="0" w:color="auto"/>
            <w:right w:val="none" w:sz="0" w:space="0" w:color="auto"/>
          </w:divBdr>
        </w:div>
      </w:divsChild>
    </w:div>
    <w:div w:id="819812575">
      <w:bodyDiv w:val="1"/>
      <w:marLeft w:val="0"/>
      <w:marRight w:val="0"/>
      <w:marTop w:val="0"/>
      <w:marBottom w:val="0"/>
      <w:divBdr>
        <w:top w:val="none" w:sz="0" w:space="0" w:color="auto"/>
        <w:left w:val="none" w:sz="0" w:space="0" w:color="auto"/>
        <w:bottom w:val="none" w:sz="0" w:space="0" w:color="auto"/>
        <w:right w:val="none" w:sz="0" w:space="0" w:color="auto"/>
      </w:divBdr>
    </w:div>
    <w:div w:id="820199837">
      <w:bodyDiv w:val="1"/>
      <w:marLeft w:val="0"/>
      <w:marRight w:val="0"/>
      <w:marTop w:val="0"/>
      <w:marBottom w:val="0"/>
      <w:divBdr>
        <w:top w:val="none" w:sz="0" w:space="0" w:color="auto"/>
        <w:left w:val="none" w:sz="0" w:space="0" w:color="auto"/>
        <w:bottom w:val="none" w:sz="0" w:space="0" w:color="auto"/>
        <w:right w:val="none" w:sz="0" w:space="0" w:color="auto"/>
      </w:divBdr>
    </w:div>
    <w:div w:id="822967850">
      <w:bodyDiv w:val="1"/>
      <w:marLeft w:val="0"/>
      <w:marRight w:val="0"/>
      <w:marTop w:val="0"/>
      <w:marBottom w:val="0"/>
      <w:divBdr>
        <w:top w:val="none" w:sz="0" w:space="0" w:color="auto"/>
        <w:left w:val="none" w:sz="0" w:space="0" w:color="auto"/>
        <w:bottom w:val="none" w:sz="0" w:space="0" w:color="auto"/>
        <w:right w:val="none" w:sz="0" w:space="0" w:color="auto"/>
      </w:divBdr>
    </w:div>
    <w:div w:id="823158572">
      <w:bodyDiv w:val="1"/>
      <w:marLeft w:val="0"/>
      <w:marRight w:val="0"/>
      <w:marTop w:val="0"/>
      <w:marBottom w:val="0"/>
      <w:divBdr>
        <w:top w:val="none" w:sz="0" w:space="0" w:color="auto"/>
        <w:left w:val="none" w:sz="0" w:space="0" w:color="auto"/>
        <w:bottom w:val="none" w:sz="0" w:space="0" w:color="auto"/>
        <w:right w:val="none" w:sz="0" w:space="0" w:color="auto"/>
      </w:divBdr>
    </w:div>
    <w:div w:id="826894170">
      <w:bodyDiv w:val="1"/>
      <w:marLeft w:val="0"/>
      <w:marRight w:val="0"/>
      <w:marTop w:val="0"/>
      <w:marBottom w:val="0"/>
      <w:divBdr>
        <w:top w:val="none" w:sz="0" w:space="0" w:color="auto"/>
        <w:left w:val="none" w:sz="0" w:space="0" w:color="auto"/>
        <w:bottom w:val="none" w:sz="0" w:space="0" w:color="auto"/>
        <w:right w:val="none" w:sz="0" w:space="0" w:color="auto"/>
      </w:divBdr>
    </w:div>
    <w:div w:id="828138050">
      <w:bodyDiv w:val="1"/>
      <w:marLeft w:val="0"/>
      <w:marRight w:val="0"/>
      <w:marTop w:val="0"/>
      <w:marBottom w:val="0"/>
      <w:divBdr>
        <w:top w:val="none" w:sz="0" w:space="0" w:color="auto"/>
        <w:left w:val="none" w:sz="0" w:space="0" w:color="auto"/>
        <w:bottom w:val="none" w:sz="0" w:space="0" w:color="auto"/>
        <w:right w:val="none" w:sz="0" w:space="0" w:color="auto"/>
      </w:divBdr>
    </w:div>
    <w:div w:id="830368723">
      <w:bodyDiv w:val="1"/>
      <w:marLeft w:val="0"/>
      <w:marRight w:val="0"/>
      <w:marTop w:val="0"/>
      <w:marBottom w:val="0"/>
      <w:divBdr>
        <w:top w:val="none" w:sz="0" w:space="0" w:color="auto"/>
        <w:left w:val="none" w:sz="0" w:space="0" w:color="auto"/>
        <w:bottom w:val="none" w:sz="0" w:space="0" w:color="auto"/>
        <w:right w:val="none" w:sz="0" w:space="0" w:color="auto"/>
      </w:divBdr>
    </w:div>
    <w:div w:id="836581154">
      <w:bodyDiv w:val="1"/>
      <w:marLeft w:val="0"/>
      <w:marRight w:val="0"/>
      <w:marTop w:val="0"/>
      <w:marBottom w:val="0"/>
      <w:divBdr>
        <w:top w:val="none" w:sz="0" w:space="0" w:color="auto"/>
        <w:left w:val="none" w:sz="0" w:space="0" w:color="auto"/>
        <w:bottom w:val="none" w:sz="0" w:space="0" w:color="auto"/>
        <w:right w:val="none" w:sz="0" w:space="0" w:color="auto"/>
      </w:divBdr>
    </w:div>
    <w:div w:id="837621035">
      <w:bodyDiv w:val="1"/>
      <w:marLeft w:val="0"/>
      <w:marRight w:val="0"/>
      <w:marTop w:val="0"/>
      <w:marBottom w:val="0"/>
      <w:divBdr>
        <w:top w:val="none" w:sz="0" w:space="0" w:color="auto"/>
        <w:left w:val="none" w:sz="0" w:space="0" w:color="auto"/>
        <w:bottom w:val="none" w:sz="0" w:space="0" w:color="auto"/>
        <w:right w:val="none" w:sz="0" w:space="0" w:color="auto"/>
      </w:divBdr>
    </w:div>
    <w:div w:id="839197177">
      <w:bodyDiv w:val="1"/>
      <w:marLeft w:val="0"/>
      <w:marRight w:val="0"/>
      <w:marTop w:val="0"/>
      <w:marBottom w:val="0"/>
      <w:divBdr>
        <w:top w:val="none" w:sz="0" w:space="0" w:color="auto"/>
        <w:left w:val="none" w:sz="0" w:space="0" w:color="auto"/>
        <w:bottom w:val="none" w:sz="0" w:space="0" w:color="auto"/>
        <w:right w:val="none" w:sz="0" w:space="0" w:color="auto"/>
      </w:divBdr>
    </w:div>
    <w:div w:id="842472394">
      <w:bodyDiv w:val="1"/>
      <w:marLeft w:val="0"/>
      <w:marRight w:val="0"/>
      <w:marTop w:val="0"/>
      <w:marBottom w:val="0"/>
      <w:divBdr>
        <w:top w:val="none" w:sz="0" w:space="0" w:color="auto"/>
        <w:left w:val="none" w:sz="0" w:space="0" w:color="auto"/>
        <w:bottom w:val="none" w:sz="0" w:space="0" w:color="auto"/>
        <w:right w:val="none" w:sz="0" w:space="0" w:color="auto"/>
      </w:divBdr>
    </w:div>
    <w:div w:id="843282420">
      <w:bodyDiv w:val="1"/>
      <w:marLeft w:val="0"/>
      <w:marRight w:val="0"/>
      <w:marTop w:val="0"/>
      <w:marBottom w:val="0"/>
      <w:divBdr>
        <w:top w:val="none" w:sz="0" w:space="0" w:color="auto"/>
        <w:left w:val="none" w:sz="0" w:space="0" w:color="auto"/>
        <w:bottom w:val="none" w:sz="0" w:space="0" w:color="auto"/>
        <w:right w:val="none" w:sz="0" w:space="0" w:color="auto"/>
      </w:divBdr>
    </w:div>
    <w:div w:id="854463205">
      <w:bodyDiv w:val="1"/>
      <w:marLeft w:val="0"/>
      <w:marRight w:val="0"/>
      <w:marTop w:val="0"/>
      <w:marBottom w:val="0"/>
      <w:divBdr>
        <w:top w:val="none" w:sz="0" w:space="0" w:color="auto"/>
        <w:left w:val="none" w:sz="0" w:space="0" w:color="auto"/>
        <w:bottom w:val="none" w:sz="0" w:space="0" w:color="auto"/>
        <w:right w:val="none" w:sz="0" w:space="0" w:color="auto"/>
      </w:divBdr>
    </w:div>
    <w:div w:id="854540767">
      <w:bodyDiv w:val="1"/>
      <w:marLeft w:val="0"/>
      <w:marRight w:val="0"/>
      <w:marTop w:val="0"/>
      <w:marBottom w:val="0"/>
      <w:divBdr>
        <w:top w:val="none" w:sz="0" w:space="0" w:color="auto"/>
        <w:left w:val="none" w:sz="0" w:space="0" w:color="auto"/>
        <w:bottom w:val="none" w:sz="0" w:space="0" w:color="auto"/>
        <w:right w:val="none" w:sz="0" w:space="0" w:color="auto"/>
      </w:divBdr>
    </w:div>
    <w:div w:id="855578768">
      <w:bodyDiv w:val="1"/>
      <w:marLeft w:val="0"/>
      <w:marRight w:val="0"/>
      <w:marTop w:val="0"/>
      <w:marBottom w:val="0"/>
      <w:divBdr>
        <w:top w:val="none" w:sz="0" w:space="0" w:color="auto"/>
        <w:left w:val="none" w:sz="0" w:space="0" w:color="auto"/>
        <w:bottom w:val="none" w:sz="0" w:space="0" w:color="auto"/>
        <w:right w:val="none" w:sz="0" w:space="0" w:color="auto"/>
      </w:divBdr>
    </w:div>
    <w:div w:id="862479770">
      <w:bodyDiv w:val="1"/>
      <w:marLeft w:val="0"/>
      <w:marRight w:val="0"/>
      <w:marTop w:val="0"/>
      <w:marBottom w:val="0"/>
      <w:divBdr>
        <w:top w:val="none" w:sz="0" w:space="0" w:color="auto"/>
        <w:left w:val="none" w:sz="0" w:space="0" w:color="auto"/>
        <w:bottom w:val="none" w:sz="0" w:space="0" w:color="auto"/>
        <w:right w:val="none" w:sz="0" w:space="0" w:color="auto"/>
      </w:divBdr>
    </w:div>
    <w:div w:id="864560950">
      <w:bodyDiv w:val="1"/>
      <w:marLeft w:val="0"/>
      <w:marRight w:val="0"/>
      <w:marTop w:val="0"/>
      <w:marBottom w:val="0"/>
      <w:divBdr>
        <w:top w:val="none" w:sz="0" w:space="0" w:color="auto"/>
        <w:left w:val="none" w:sz="0" w:space="0" w:color="auto"/>
        <w:bottom w:val="none" w:sz="0" w:space="0" w:color="auto"/>
        <w:right w:val="none" w:sz="0" w:space="0" w:color="auto"/>
      </w:divBdr>
    </w:div>
    <w:div w:id="867334374">
      <w:bodyDiv w:val="1"/>
      <w:marLeft w:val="0"/>
      <w:marRight w:val="0"/>
      <w:marTop w:val="0"/>
      <w:marBottom w:val="0"/>
      <w:divBdr>
        <w:top w:val="none" w:sz="0" w:space="0" w:color="auto"/>
        <w:left w:val="none" w:sz="0" w:space="0" w:color="auto"/>
        <w:bottom w:val="none" w:sz="0" w:space="0" w:color="auto"/>
        <w:right w:val="none" w:sz="0" w:space="0" w:color="auto"/>
      </w:divBdr>
    </w:div>
    <w:div w:id="871260888">
      <w:bodyDiv w:val="1"/>
      <w:marLeft w:val="0"/>
      <w:marRight w:val="0"/>
      <w:marTop w:val="0"/>
      <w:marBottom w:val="0"/>
      <w:divBdr>
        <w:top w:val="none" w:sz="0" w:space="0" w:color="auto"/>
        <w:left w:val="none" w:sz="0" w:space="0" w:color="auto"/>
        <w:bottom w:val="none" w:sz="0" w:space="0" w:color="auto"/>
        <w:right w:val="none" w:sz="0" w:space="0" w:color="auto"/>
      </w:divBdr>
    </w:div>
    <w:div w:id="888759769">
      <w:bodyDiv w:val="1"/>
      <w:marLeft w:val="0"/>
      <w:marRight w:val="0"/>
      <w:marTop w:val="0"/>
      <w:marBottom w:val="0"/>
      <w:divBdr>
        <w:top w:val="none" w:sz="0" w:space="0" w:color="auto"/>
        <w:left w:val="none" w:sz="0" w:space="0" w:color="auto"/>
        <w:bottom w:val="none" w:sz="0" w:space="0" w:color="auto"/>
        <w:right w:val="none" w:sz="0" w:space="0" w:color="auto"/>
      </w:divBdr>
    </w:div>
    <w:div w:id="888763608">
      <w:bodyDiv w:val="1"/>
      <w:marLeft w:val="0"/>
      <w:marRight w:val="0"/>
      <w:marTop w:val="0"/>
      <w:marBottom w:val="0"/>
      <w:divBdr>
        <w:top w:val="none" w:sz="0" w:space="0" w:color="auto"/>
        <w:left w:val="none" w:sz="0" w:space="0" w:color="auto"/>
        <w:bottom w:val="none" w:sz="0" w:space="0" w:color="auto"/>
        <w:right w:val="none" w:sz="0" w:space="0" w:color="auto"/>
      </w:divBdr>
    </w:div>
    <w:div w:id="904223520">
      <w:bodyDiv w:val="1"/>
      <w:marLeft w:val="0"/>
      <w:marRight w:val="0"/>
      <w:marTop w:val="0"/>
      <w:marBottom w:val="0"/>
      <w:divBdr>
        <w:top w:val="none" w:sz="0" w:space="0" w:color="auto"/>
        <w:left w:val="none" w:sz="0" w:space="0" w:color="auto"/>
        <w:bottom w:val="none" w:sz="0" w:space="0" w:color="auto"/>
        <w:right w:val="none" w:sz="0" w:space="0" w:color="auto"/>
      </w:divBdr>
    </w:div>
    <w:div w:id="907768620">
      <w:bodyDiv w:val="1"/>
      <w:marLeft w:val="0"/>
      <w:marRight w:val="0"/>
      <w:marTop w:val="0"/>
      <w:marBottom w:val="0"/>
      <w:divBdr>
        <w:top w:val="none" w:sz="0" w:space="0" w:color="auto"/>
        <w:left w:val="none" w:sz="0" w:space="0" w:color="auto"/>
        <w:bottom w:val="none" w:sz="0" w:space="0" w:color="auto"/>
        <w:right w:val="none" w:sz="0" w:space="0" w:color="auto"/>
      </w:divBdr>
    </w:div>
    <w:div w:id="907960671">
      <w:bodyDiv w:val="1"/>
      <w:marLeft w:val="0"/>
      <w:marRight w:val="0"/>
      <w:marTop w:val="0"/>
      <w:marBottom w:val="0"/>
      <w:divBdr>
        <w:top w:val="none" w:sz="0" w:space="0" w:color="auto"/>
        <w:left w:val="none" w:sz="0" w:space="0" w:color="auto"/>
        <w:bottom w:val="none" w:sz="0" w:space="0" w:color="auto"/>
        <w:right w:val="none" w:sz="0" w:space="0" w:color="auto"/>
      </w:divBdr>
    </w:div>
    <w:div w:id="942033027">
      <w:bodyDiv w:val="1"/>
      <w:marLeft w:val="0"/>
      <w:marRight w:val="0"/>
      <w:marTop w:val="0"/>
      <w:marBottom w:val="0"/>
      <w:divBdr>
        <w:top w:val="none" w:sz="0" w:space="0" w:color="auto"/>
        <w:left w:val="none" w:sz="0" w:space="0" w:color="auto"/>
        <w:bottom w:val="none" w:sz="0" w:space="0" w:color="auto"/>
        <w:right w:val="none" w:sz="0" w:space="0" w:color="auto"/>
      </w:divBdr>
    </w:div>
    <w:div w:id="942374448">
      <w:bodyDiv w:val="1"/>
      <w:marLeft w:val="0"/>
      <w:marRight w:val="0"/>
      <w:marTop w:val="0"/>
      <w:marBottom w:val="0"/>
      <w:divBdr>
        <w:top w:val="none" w:sz="0" w:space="0" w:color="auto"/>
        <w:left w:val="none" w:sz="0" w:space="0" w:color="auto"/>
        <w:bottom w:val="none" w:sz="0" w:space="0" w:color="auto"/>
        <w:right w:val="none" w:sz="0" w:space="0" w:color="auto"/>
      </w:divBdr>
    </w:div>
    <w:div w:id="948049698">
      <w:bodyDiv w:val="1"/>
      <w:marLeft w:val="0"/>
      <w:marRight w:val="0"/>
      <w:marTop w:val="0"/>
      <w:marBottom w:val="0"/>
      <w:divBdr>
        <w:top w:val="none" w:sz="0" w:space="0" w:color="auto"/>
        <w:left w:val="none" w:sz="0" w:space="0" w:color="auto"/>
        <w:bottom w:val="none" w:sz="0" w:space="0" w:color="auto"/>
        <w:right w:val="none" w:sz="0" w:space="0" w:color="auto"/>
      </w:divBdr>
    </w:div>
    <w:div w:id="948664844">
      <w:bodyDiv w:val="1"/>
      <w:marLeft w:val="0"/>
      <w:marRight w:val="0"/>
      <w:marTop w:val="0"/>
      <w:marBottom w:val="0"/>
      <w:divBdr>
        <w:top w:val="none" w:sz="0" w:space="0" w:color="auto"/>
        <w:left w:val="none" w:sz="0" w:space="0" w:color="auto"/>
        <w:bottom w:val="none" w:sz="0" w:space="0" w:color="auto"/>
        <w:right w:val="none" w:sz="0" w:space="0" w:color="auto"/>
      </w:divBdr>
    </w:div>
    <w:div w:id="949164632">
      <w:bodyDiv w:val="1"/>
      <w:marLeft w:val="0"/>
      <w:marRight w:val="0"/>
      <w:marTop w:val="0"/>
      <w:marBottom w:val="0"/>
      <w:divBdr>
        <w:top w:val="none" w:sz="0" w:space="0" w:color="auto"/>
        <w:left w:val="none" w:sz="0" w:space="0" w:color="auto"/>
        <w:bottom w:val="none" w:sz="0" w:space="0" w:color="auto"/>
        <w:right w:val="none" w:sz="0" w:space="0" w:color="auto"/>
      </w:divBdr>
    </w:div>
    <w:div w:id="950162895">
      <w:bodyDiv w:val="1"/>
      <w:marLeft w:val="0"/>
      <w:marRight w:val="0"/>
      <w:marTop w:val="0"/>
      <w:marBottom w:val="0"/>
      <w:divBdr>
        <w:top w:val="none" w:sz="0" w:space="0" w:color="auto"/>
        <w:left w:val="none" w:sz="0" w:space="0" w:color="auto"/>
        <w:bottom w:val="none" w:sz="0" w:space="0" w:color="auto"/>
        <w:right w:val="none" w:sz="0" w:space="0" w:color="auto"/>
      </w:divBdr>
    </w:div>
    <w:div w:id="955528562">
      <w:bodyDiv w:val="1"/>
      <w:marLeft w:val="0"/>
      <w:marRight w:val="0"/>
      <w:marTop w:val="0"/>
      <w:marBottom w:val="0"/>
      <w:divBdr>
        <w:top w:val="none" w:sz="0" w:space="0" w:color="auto"/>
        <w:left w:val="none" w:sz="0" w:space="0" w:color="auto"/>
        <w:bottom w:val="none" w:sz="0" w:space="0" w:color="auto"/>
        <w:right w:val="none" w:sz="0" w:space="0" w:color="auto"/>
      </w:divBdr>
    </w:div>
    <w:div w:id="956830899">
      <w:bodyDiv w:val="1"/>
      <w:marLeft w:val="0"/>
      <w:marRight w:val="0"/>
      <w:marTop w:val="0"/>
      <w:marBottom w:val="0"/>
      <w:divBdr>
        <w:top w:val="none" w:sz="0" w:space="0" w:color="auto"/>
        <w:left w:val="none" w:sz="0" w:space="0" w:color="auto"/>
        <w:bottom w:val="none" w:sz="0" w:space="0" w:color="auto"/>
        <w:right w:val="none" w:sz="0" w:space="0" w:color="auto"/>
      </w:divBdr>
    </w:div>
    <w:div w:id="958220601">
      <w:bodyDiv w:val="1"/>
      <w:marLeft w:val="0"/>
      <w:marRight w:val="0"/>
      <w:marTop w:val="0"/>
      <w:marBottom w:val="0"/>
      <w:divBdr>
        <w:top w:val="none" w:sz="0" w:space="0" w:color="auto"/>
        <w:left w:val="none" w:sz="0" w:space="0" w:color="auto"/>
        <w:bottom w:val="none" w:sz="0" w:space="0" w:color="auto"/>
        <w:right w:val="none" w:sz="0" w:space="0" w:color="auto"/>
      </w:divBdr>
    </w:div>
    <w:div w:id="959142702">
      <w:bodyDiv w:val="1"/>
      <w:marLeft w:val="0"/>
      <w:marRight w:val="0"/>
      <w:marTop w:val="0"/>
      <w:marBottom w:val="0"/>
      <w:divBdr>
        <w:top w:val="none" w:sz="0" w:space="0" w:color="auto"/>
        <w:left w:val="none" w:sz="0" w:space="0" w:color="auto"/>
        <w:bottom w:val="none" w:sz="0" w:space="0" w:color="auto"/>
        <w:right w:val="none" w:sz="0" w:space="0" w:color="auto"/>
      </w:divBdr>
    </w:div>
    <w:div w:id="961031373">
      <w:bodyDiv w:val="1"/>
      <w:marLeft w:val="0"/>
      <w:marRight w:val="0"/>
      <w:marTop w:val="0"/>
      <w:marBottom w:val="0"/>
      <w:divBdr>
        <w:top w:val="none" w:sz="0" w:space="0" w:color="auto"/>
        <w:left w:val="none" w:sz="0" w:space="0" w:color="auto"/>
        <w:bottom w:val="none" w:sz="0" w:space="0" w:color="auto"/>
        <w:right w:val="none" w:sz="0" w:space="0" w:color="auto"/>
      </w:divBdr>
    </w:div>
    <w:div w:id="968556712">
      <w:bodyDiv w:val="1"/>
      <w:marLeft w:val="0"/>
      <w:marRight w:val="0"/>
      <w:marTop w:val="0"/>
      <w:marBottom w:val="0"/>
      <w:divBdr>
        <w:top w:val="none" w:sz="0" w:space="0" w:color="auto"/>
        <w:left w:val="none" w:sz="0" w:space="0" w:color="auto"/>
        <w:bottom w:val="none" w:sz="0" w:space="0" w:color="auto"/>
        <w:right w:val="none" w:sz="0" w:space="0" w:color="auto"/>
      </w:divBdr>
    </w:div>
    <w:div w:id="979505604">
      <w:bodyDiv w:val="1"/>
      <w:marLeft w:val="0"/>
      <w:marRight w:val="0"/>
      <w:marTop w:val="0"/>
      <w:marBottom w:val="0"/>
      <w:divBdr>
        <w:top w:val="none" w:sz="0" w:space="0" w:color="auto"/>
        <w:left w:val="none" w:sz="0" w:space="0" w:color="auto"/>
        <w:bottom w:val="none" w:sz="0" w:space="0" w:color="auto"/>
        <w:right w:val="none" w:sz="0" w:space="0" w:color="auto"/>
      </w:divBdr>
    </w:div>
    <w:div w:id="980379179">
      <w:bodyDiv w:val="1"/>
      <w:marLeft w:val="0"/>
      <w:marRight w:val="0"/>
      <w:marTop w:val="0"/>
      <w:marBottom w:val="0"/>
      <w:divBdr>
        <w:top w:val="none" w:sz="0" w:space="0" w:color="auto"/>
        <w:left w:val="none" w:sz="0" w:space="0" w:color="auto"/>
        <w:bottom w:val="none" w:sz="0" w:space="0" w:color="auto"/>
        <w:right w:val="none" w:sz="0" w:space="0" w:color="auto"/>
      </w:divBdr>
    </w:div>
    <w:div w:id="984121059">
      <w:bodyDiv w:val="1"/>
      <w:marLeft w:val="0"/>
      <w:marRight w:val="0"/>
      <w:marTop w:val="0"/>
      <w:marBottom w:val="0"/>
      <w:divBdr>
        <w:top w:val="none" w:sz="0" w:space="0" w:color="auto"/>
        <w:left w:val="none" w:sz="0" w:space="0" w:color="auto"/>
        <w:bottom w:val="none" w:sz="0" w:space="0" w:color="auto"/>
        <w:right w:val="none" w:sz="0" w:space="0" w:color="auto"/>
      </w:divBdr>
    </w:div>
    <w:div w:id="986202996">
      <w:bodyDiv w:val="1"/>
      <w:marLeft w:val="0"/>
      <w:marRight w:val="0"/>
      <w:marTop w:val="0"/>
      <w:marBottom w:val="0"/>
      <w:divBdr>
        <w:top w:val="none" w:sz="0" w:space="0" w:color="auto"/>
        <w:left w:val="none" w:sz="0" w:space="0" w:color="auto"/>
        <w:bottom w:val="none" w:sz="0" w:space="0" w:color="auto"/>
        <w:right w:val="none" w:sz="0" w:space="0" w:color="auto"/>
      </w:divBdr>
    </w:div>
    <w:div w:id="988167761">
      <w:bodyDiv w:val="1"/>
      <w:marLeft w:val="0"/>
      <w:marRight w:val="0"/>
      <w:marTop w:val="0"/>
      <w:marBottom w:val="0"/>
      <w:divBdr>
        <w:top w:val="none" w:sz="0" w:space="0" w:color="auto"/>
        <w:left w:val="none" w:sz="0" w:space="0" w:color="auto"/>
        <w:bottom w:val="none" w:sz="0" w:space="0" w:color="auto"/>
        <w:right w:val="none" w:sz="0" w:space="0" w:color="auto"/>
      </w:divBdr>
    </w:div>
    <w:div w:id="989791638">
      <w:bodyDiv w:val="1"/>
      <w:marLeft w:val="0"/>
      <w:marRight w:val="0"/>
      <w:marTop w:val="0"/>
      <w:marBottom w:val="0"/>
      <w:divBdr>
        <w:top w:val="none" w:sz="0" w:space="0" w:color="auto"/>
        <w:left w:val="none" w:sz="0" w:space="0" w:color="auto"/>
        <w:bottom w:val="none" w:sz="0" w:space="0" w:color="auto"/>
        <w:right w:val="none" w:sz="0" w:space="0" w:color="auto"/>
      </w:divBdr>
    </w:div>
    <w:div w:id="1000540816">
      <w:bodyDiv w:val="1"/>
      <w:marLeft w:val="0"/>
      <w:marRight w:val="0"/>
      <w:marTop w:val="0"/>
      <w:marBottom w:val="0"/>
      <w:divBdr>
        <w:top w:val="none" w:sz="0" w:space="0" w:color="auto"/>
        <w:left w:val="none" w:sz="0" w:space="0" w:color="auto"/>
        <w:bottom w:val="none" w:sz="0" w:space="0" w:color="auto"/>
        <w:right w:val="none" w:sz="0" w:space="0" w:color="auto"/>
      </w:divBdr>
    </w:div>
    <w:div w:id="1004666952">
      <w:bodyDiv w:val="1"/>
      <w:marLeft w:val="0"/>
      <w:marRight w:val="0"/>
      <w:marTop w:val="0"/>
      <w:marBottom w:val="0"/>
      <w:divBdr>
        <w:top w:val="none" w:sz="0" w:space="0" w:color="auto"/>
        <w:left w:val="none" w:sz="0" w:space="0" w:color="auto"/>
        <w:bottom w:val="none" w:sz="0" w:space="0" w:color="auto"/>
        <w:right w:val="none" w:sz="0" w:space="0" w:color="auto"/>
      </w:divBdr>
    </w:div>
    <w:div w:id="1009984648">
      <w:bodyDiv w:val="1"/>
      <w:marLeft w:val="0"/>
      <w:marRight w:val="0"/>
      <w:marTop w:val="0"/>
      <w:marBottom w:val="0"/>
      <w:divBdr>
        <w:top w:val="none" w:sz="0" w:space="0" w:color="auto"/>
        <w:left w:val="none" w:sz="0" w:space="0" w:color="auto"/>
        <w:bottom w:val="none" w:sz="0" w:space="0" w:color="auto"/>
        <w:right w:val="none" w:sz="0" w:space="0" w:color="auto"/>
      </w:divBdr>
    </w:div>
    <w:div w:id="1013725283">
      <w:bodyDiv w:val="1"/>
      <w:marLeft w:val="0"/>
      <w:marRight w:val="0"/>
      <w:marTop w:val="0"/>
      <w:marBottom w:val="0"/>
      <w:divBdr>
        <w:top w:val="none" w:sz="0" w:space="0" w:color="auto"/>
        <w:left w:val="none" w:sz="0" w:space="0" w:color="auto"/>
        <w:bottom w:val="none" w:sz="0" w:space="0" w:color="auto"/>
        <w:right w:val="none" w:sz="0" w:space="0" w:color="auto"/>
      </w:divBdr>
    </w:div>
    <w:div w:id="1015502907">
      <w:bodyDiv w:val="1"/>
      <w:marLeft w:val="0"/>
      <w:marRight w:val="0"/>
      <w:marTop w:val="0"/>
      <w:marBottom w:val="0"/>
      <w:divBdr>
        <w:top w:val="none" w:sz="0" w:space="0" w:color="auto"/>
        <w:left w:val="none" w:sz="0" w:space="0" w:color="auto"/>
        <w:bottom w:val="none" w:sz="0" w:space="0" w:color="auto"/>
        <w:right w:val="none" w:sz="0" w:space="0" w:color="auto"/>
      </w:divBdr>
    </w:div>
    <w:div w:id="1020426361">
      <w:bodyDiv w:val="1"/>
      <w:marLeft w:val="0"/>
      <w:marRight w:val="0"/>
      <w:marTop w:val="0"/>
      <w:marBottom w:val="0"/>
      <w:divBdr>
        <w:top w:val="none" w:sz="0" w:space="0" w:color="auto"/>
        <w:left w:val="none" w:sz="0" w:space="0" w:color="auto"/>
        <w:bottom w:val="none" w:sz="0" w:space="0" w:color="auto"/>
        <w:right w:val="none" w:sz="0" w:space="0" w:color="auto"/>
      </w:divBdr>
    </w:div>
    <w:div w:id="1021319164">
      <w:bodyDiv w:val="1"/>
      <w:marLeft w:val="0"/>
      <w:marRight w:val="0"/>
      <w:marTop w:val="0"/>
      <w:marBottom w:val="0"/>
      <w:divBdr>
        <w:top w:val="none" w:sz="0" w:space="0" w:color="auto"/>
        <w:left w:val="none" w:sz="0" w:space="0" w:color="auto"/>
        <w:bottom w:val="none" w:sz="0" w:space="0" w:color="auto"/>
        <w:right w:val="none" w:sz="0" w:space="0" w:color="auto"/>
      </w:divBdr>
    </w:div>
    <w:div w:id="1030373157">
      <w:bodyDiv w:val="1"/>
      <w:marLeft w:val="0"/>
      <w:marRight w:val="0"/>
      <w:marTop w:val="0"/>
      <w:marBottom w:val="0"/>
      <w:divBdr>
        <w:top w:val="none" w:sz="0" w:space="0" w:color="auto"/>
        <w:left w:val="none" w:sz="0" w:space="0" w:color="auto"/>
        <w:bottom w:val="none" w:sz="0" w:space="0" w:color="auto"/>
        <w:right w:val="none" w:sz="0" w:space="0" w:color="auto"/>
      </w:divBdr>
    </w:div>
    <w:div w:id="1044405301">
      <w:bodyDiv w:val="1"/>
      <w:marLeft w:val="0"/>
      <w:marRight w:val="0"/>
      <w:marTop w:val="0"/>
      <w:marBottom w:val="0"/>
      <w:divBdr>
        <w:top w:val="none" w:sz="0" w:space="0" w:color="auto"/>
        <w:left w:val="none" w:sz="0" w:space="0" w:color="auto"/>
        <w:bottom w:val="none" w:sz="0" w:space="0" w:color="auto"/>
        <w:right w:val="none" w:sz="0" w:space="0" w:color="auto"/>
      </w:divBdr>
    </w:div>
    <w:div w:id="1050375048">
      <w:bodyDiv w:val="1"/>
      <w:marLeft w:val="0"/>
      <w:marRight w:val="0"/>
      <w:marTop w:val="0"/>
      <w:marBottom w:val="0"/>
      <w:divBdr>
        <w:top w:val="none" w:sz="0" w:space="0" w:color="auto"/>
        <w:left w:val="none" w:sz="0" w:space="0" w:color="auto"/>
        <w:bottom w:val="none" w:sz="0" w:space="0" w:color="auto"/>
        <w:right w:val="none" w:sz="0" w:space="0" w:color="auto"/>
      </w:divBdr>
    </w:div>
    <w:div w:id="1062563095">
      <w:bodyDiv w:val="1"/>
      <w:marLeft w:val="0"/>
      <w:marRight w:val="0"/>
      <w:marTop w:val="0"/>
      <w:marBottom w:val="0"/>
      <w:divBdr>
        <w:top w:val="none" w:sz="0" w:space="0" w:color="auto"/>
        <w:left w:val="none" w:sz="0" w:space="0" w:color="auto"/>
        <w:bottom w:val="none" w:sz="0" w:space="0" w:color="auto"/>
        <w:right w:val="none" w:sz="0" w:space="0" w:color="auto"/>
      </w:divBdr>
    </w:div>
    <w:div w:id="1065025891">
      <w:bodyDiv w:val="1"/>
      <w:marLeft w:val="0"/>
      <w:marRight w:val="0"/>
      <w:marTop w:val="0"/>
      <w:marBottom w:val="0"/>
      <w:divBdr>
        <w:top w:val="none" w:sz="0" w:space="0" w:color="auto"/>
        <w:left w:val="none" w:sz="0" w:space="0" w:color="auto"/>
        <w:bottom w:val="none" w:sz="0" w:space="0" w:color="auto"/>
        <w:right w:val="none" w:sz="0" w:space="0" w:color="auto"/>
      </w:divBdr>
      <w:divsChild>
        <w:div w:id="261380908">
          <w:marLeft w:val="547"/>
          <w:marRight w:val="0"/>
          <w:marTop w:val="0"/>
          <w:marBottom w:val="0"/>
          <w:divBdr>
            <w:top w:val="none" w:sz="0" w:space="0" w:color="auto"/>
            <w:left w:val="none" w:sz="0" w:space="0" w:color="auto"/>
            <w:bottom w:val="none" w:sz="0" w:space="0" w:color="auto"/>
            <w:right w:val="none" w:sz="0" w:space="0" w:color="auto"/>
          </w:divBdr>
        </w:div>
      </w:divsChild>
    </w:div>
    <w:div w:id="1073044093">
      <w:bodyDiv w:val="1"/>
      <w:marLeft w:val="0"/>
      <w:marRight w:val="0"/>
      <w:marTop w:val="0"/>
      <w:marBottom w:val="0"/>
      <w:divBdr>
        <w:top w:val="none" w:sz="0" w:space="0" w:color="auto"/>
        <w:left w:val="none" w:sz="0" w:space="0" w:color="auto"/>
        <w:bottom w:val="none" w:sz="0" w:space="0" w:color="auto"/>
        <w:right w:val="none" w:sz="0" w:space="0" w:color="auto"/>
      </w:divBdr>
    </w:div>
    <w:div w:id="1073743447">
      <w:bodyDiv w:val="1"/>
      <w:marLeft w:val="0"/>
      <w:marRight w:val="0"/>
      <w:marTop w:val="0"/>
      <w:marBottom w:val="0"/>
      <w:divBdr>
        <w:top w:val="none" w:sz="0" w:space="0" w:color="auto"/>
        <w:left w:val="none" w:sz="0" w:space="0" w:color="auto"/>
        <w:bottom w:val="none" w:sz="0" w:space="0" w:color="auto"/>
        <w:right w:val="none" w:sz="0" w:space="0" w:color="auto"/>
      </w:divBdr>
    </w:div>
    <w:div w:id="1077247100">
      <w:bodyDiv w:val="1"/>
      <w:marLeft w:val="0"/>
      <w:marRight w:val="0"/>
      <w:marTop w:val="0"/>
      <w:marBottom w:val="0"/>
      <w:divBdr>
        <w:top w:val="none" w:sz="0" w:space="0" w:color="auto"/>
        <w:left w:val="none" w:sz="0" w:space="0" w:color="auto"/>
        <w:bottom w:val="none" w:sz="0" w:space="0" w:color="auto"/>
        <w:right w:val="none" w:sz="0" w:space="0" w:color="auto"/>
      </w:divBdr>
    </w:div>
    <w:div w:id="1086220837">
      <w:bodyDiv w:val="1"/>
      <w:marLeft w:val="0"/>
      <w:marRight w:val="0"/>
      <w:marTop w:val="0"/>
      <w:marBottom w:val="0"/>
      <w:divBdr>
        <w:top w:val="none" w:sz="0" w:space="0" w:color="auto"/>
        <w:left w:val="none" w:sz="0" w:space="0" w:color="auto"/>
        <w:bottom w:val="none" w:sz="0" w:space="0" w:color="auto"/>
        <w:right w:val="none" w:sz="0" w:space="0" w:color="auto"/>
      </w:divBdr>
    </w:div>
    <w:div w:id="1092356964">
      <w:bodyDiv w:val="1"/>
      <w:marLeft w:val="0"/>
      <w:marRight w:val="0"/>
      <w:marTop w:val="0"/>
      <w:marBottom w:val="0"/>
      <w:divBdr>
        <w:top w:val="none" w:sz="0" w:space="0" w:color="auto"/>
        <w:left w:val="none" w:sz="0" w:space="0" w:color="auto"/>
        <w:bottom w:val="none" w:sz="0" w:space="0" w:color="auto"/>
        <w:right w:val="none" w:sz="0" w:space="0" w:color="auto"/>
      </w:divBdr>
    </w:div>
    <w:div w:id="1095974819">
      <w:bodyDiv w:val="1"/>
      <w:marLeft w:val="0"/>
      <w:marRight w:val="0"/>
      <w:marTop w:val="0"/>
      <w:marBottom w:val="0"/>
      <w:divBdr>
        <w:top w:val="none" w:sz="0" w:space="0" w:color="auto"/>
        <w:left w:val="none" w:sz="0" w:space="0" w:color="auto"/>
        <w:bottom w:val="none" w:sz="0" w:space="0" w:color="auto"/>
        <w:right w:val="none" w:sz="0" w:space="0" w:color="auto"/>
      </w:divBdr>
    </w:div>
    <w:div w:id="1108624942">
      <w:bodyDiv w:val="1"/>
      <w:marLeft w:val="0"/>
      <w:marRight w:val="0"/>
      <w:marTop w:val="0"/>
      <w:marBottom w:val="0"/>
      <w:divBdr>
        <w:top w:val="none" w:sz="0" w:space="0" w:color="auto"/>
        <w:left w:val="none" w:sz="0" w:space="0" w:color="auto"/>
        <w:bottom w:val="none" w:sz="0" w:space="0" w:color="auto"/>
        <w:right w:val="none" w:sz="0" w:space="0" w:color="auto"/>
      </w:divBdr>
    </w:div>
    <w:div w:id="1112673026">
      <w:bodyDiv w:val="1"/>
      <w:marLeft w:val="0"/>
      <w:marRight w:val="0"/>
      <w:marTop w:val="0"/>
      <w:marBottom w:val="0"/>
      <w:divBdr>
        <w:top w:val="none" w:sz="0" w:space="0" w:color="auto"/>
        <w:left w:val="none" w:sz="0" w:space="0" w:color="auto"/>
        <w:bottom w:val="none" w:sz="0" w:space="0" w:color="auto"/>
        <w:right w:val="none" w:sz="0" w:space="0" w:color="auto"/>
      </w:divBdr>
    </w:div>
    <w:div w:id="1112898752">
      <w:bodyDiv w:val="1"/>
      <w:marLeft w:val="0"/>
      <w:marRight w:val="0"/>
      <w:marTop w:val="0"/>
      <w:marBottom w:val="0"/>
      <w:divBdr>
        <w:top w:val="none" w:sz="0" w:space="0" w:color="auto"/>
        <w:left w:val="none" w:sz="0" w:space="0" w:color="auto"/>
        <w:bottom w:val="none" w:sz="0" w:space="0" w:color="auto"/>
        <w:right w:val="none" w:sz="0" w:space="0" w:color="auto"/>
      </w:divBdr>
    </w:div>
    <w:div w:id="1113747402">
      <w:bodyDiv w:val="1"/>
      <w:marLeft w:val="0"/>
      <w:marRight w:val="0"/>
      <w:marTop w:val="0"/>
      <w:marBottom w:val="0"/>
      <w:divBdr>
        <w:top w:val="none" w:sz="0" w:space="0" w:color="auto"/>
        <w:left w:val="none" w:sz="0" w:space="0" w:color="auto"/>
        <w:bottom w:val="none" w:sz="0" w:space="0" w:color="auto"/>
        <w:right w:val="none" w:sz="0" w:space="0" w:color="auto"/>
      </w:divBdr>
    </w:div>
    <w:div w:id="1116681245">
      <w:bodyDiv w:val="1"/>
      <w:marLeft w:val="0"/>
      <w:marRight w:val="0"/>
      <w:marTop w:val="0"/>
      <w:marBottom w:val="0"/>
      <w:divBdr>
        <w:top w:val="none" w:sz="0" w:space="0" w:color="auto"/>
        <w:left w:val="none" w:sz="0" w:space="0" w:color="auto"/>
        <w:bottom w:val="none" w:sz="0" w:space="0" w:color="auto"/>
        <w:right w:val="none" w:sz="0" w:space="0" w:color="auto"/>
      </w:divBdr>
    </w:div>
    <w:div w:id="1117988785">
      <w:bodyDiv w:val="1"/>
      <w:marLeft w:val="0"/>
      <w:marRight w:val="0"/>
      <w:marTop w:val="0"/>
      <w:marBottom w:val="0"/>
      <w:divBdr>
        <w:top w:val="none" w:sz="0" w:space="0" w:color="auto"/>
        <w:left w:val="none" w:sz="0" w:space="0" w:color="auto"/>
        <w:bottom w:val="none" w:sz="0" w:space="0" w:color="auto"/>
        <w:right w:val="none" w:sz="0" w:space="0" w:color="auto"/>
      </w:divBdr>
    </w:div>
    <w:div w:id="1124428553">
      <w:bodyDiv w:val="1"/>
      <w:marLeft w:val="0"/>
      <w:marRight w:val="0"/>
      <w:marTop w:val="0"/>
      <w:marBottom w:val="0"/>
      <w:divBdr>
        <w:top w:val="none" w:sz="0" w:space="0" w:color="auto"/>
        <w:left w:val="none" w:sz="0" w:space="0" w:color="auto"/>
        <w:bottom w:val="none" w:sz="0" w:space="0" w:color="auto"/>
        <w:right w:val="none" w:sz="0" w:space="0" w:color="auto"/>
      </w:divBdr>
      <w:divsChild>
        <w:div w:id="935403374">
          <w:marLeft w:val="547"/>
          <w:marRight w:val="0"/>
          <w:marTop w:val="0"/>
          <w:marBottom w:val="0"/>
          <w:divBdr>
            <w:top w:val="none" w:sz="0" w:space="0" w:color="auto"/>
            <w:left w:val="none" w:sz="0" w:space="0" w:color="auto"/>
            <w:bottom w:val="none" w:sz="0" w:space="0" w:color="auto"/>
            <w:right w:val="none" w:sz="0" w:space="0" w:color="auto"/>
          </w:divBdr>
        </w:div>
      </w:divsChild>
    </w:div>
    <w:div w:id="1124810530">
      <w:bodyDiv w:val="1"/>
      <w:marLeft w:val="0"/>
      <w:marRight w:val="0"/>
      <w:marTop w:val="0"/>
      <w:marBottom w:val="0"/>
      <w:divBdr>
        <w:top w:val="none" w:sz="0" w:space="0" w:color="auto"/>
        <w:left w:val="none" w:sz="0" w:space="0" w:color="auto"/>
        <w:bottom w:val="none" w:sz="0" w:space="0" w:color="auto"/>
        <w:right w:val="none" w:sz="0" w:space="0" w:color="auto"/>
      </w:divBdr>
    </w:div>
    <w:div w:id="1131632139">
      <w:bodyDiv w:val="1"/>
      <w:marLeft w:val="0"/>
      <w:marRight w:val="0"/>
      <w:marTop w:val="0"/>
      <w:marBottom w:val="0"/>
      <w:divBdr>
        <w:top w:val="none" w:sz="0" w:space="0" w:color="auto"/>
        <w:left w:val="none" w:sz="0" w:space="0" w:color="auto"/>
        <w:bottom w:val="none" w:sz="0" w:space="0" w:color="auto"/>
        <w:right w:val="none" w:sz="0" w:space="0" w:color="auto"/>
      </w:divBdr>
    </w:div>
    <w:div w:id="1141194816">
      <w:bodyDiv w:val="1"/>
      <w:marLeft w:val="0"/>
      <w:marRight w:val="0"/>
      <w:marTop w:val="0"/>
      <w:marBottom w:val="0"/>
      <w:divBdr>
        <w:top w:val="none" w:sz="0" w:space="0" w:color="auto"/>
        <w:left w:val="none" w:sz="0" w:space="0" w:color="auto"/>
        <w:bottom w:val="none" w:sz="0" w:space="0" w:color="auto"/>
        <w:right w:val="none" w:sz="0" w:space="0" w:color="auto"/>
      </w:divBdr>
    </w:div>
    <w:div w:id="1147361447">
      <w:bodyDiv w:val="1"/>
      <w:marLeft w:val="0"/>
      <w:marRight w:val="0"/>
      <w:marTop w:val="0"/>
      <w:marBottom w:val="0"/>
      <w:divBdr>
        <w:top w:val="none" w:sz="0" w:space="0" w:color="auto"/>
        <w:left w:val="none" w:sz="0" w:space="0" w:color="auto"/>
        <w:bottom w:val="none" w:sz="0" w:space="0" w:color="auto"/>
        <w:right w:val="none" w:sz="0" w:space="0" w:color="auto"/>
      </w:divBdr>
    </w:div>
    <w:div w:id="1148205364">
      <w:bodyDiv w:val="1"/>
      <w:marLeft w:val="0"/>
      <w:marRight w:val="0"/>
      <w:marTop w:val="0"/>
      <w:marBottom w:val="0"/>
      <w:divBdr>
        <w:top w:val="none" w:sz="0" w:space="0" w:color="auto"/>
        <w:left w:val="none" w:sz="0" w:space="0" w:color="auto"/>
        <w:bottom w:val="none" w:sz="0" w:space="0" w:color="auto"/>
        <w:right w:val="none" w:sz="0" w:space="0" w:color="auto"/>
      </w:divBdr>
    </w:div>
    <w:div w:id="1148405053">
      <w:bodyDiv w:val="1"/>
      <w:marLeft w:val="0"/>
      <w:marRight w:val="0"/>
      <w:marTop w:val="0"/>
      <w:marBottom w:val="0"/>
      <w:divBdr>
        <w:top w:val="none" w:sz="0" w:space="0" w:color="auto"/>
        <w:left w:val="none" w:sz="0" w:space="0" w:color="auto"/>
        <w:bottom w:val="none" w:sz="0" w:space="0" w:color="auto"/>
        <w:right w:val="none" w:sz="0" w:space="0" w:color="auto"/>
      </w:divBdr>
    </w:div>
    <w:div w:id="1150752788">
      <w:bodyDiv w:val="1"/>
      <w:marLeft w:val="0"/>
      <w:marRight w:val="0"/>
      <w:marTop w:val="0"/>
      <w:marBottom w:val="0"/>
      <w:divBdr>
        <w:top w:val="none" w:sz="0" w:space="0" w:color="auto"/>
        <w:left w:val="none" w:sz="0" w:space="0" w:color="auto"/>
        <w:bottom w:val="none" w:sz="0" w:space="0" w:color="auto"/>
        <w:right w:val="none" w:sz="0" w:space="0" w:color="auto"/>
      </w:divBdr>
    </w:div>
    <w:div w:id="1153450523">
      <w:bodyDiv w:val="1"/>
      <w:marLeft w:val="0"/>
      <w:marRight w:val="0"/>
      <w:marTop w:val="0"/>
      <w:marBottom w:val="0"/>
      <w:divBdr>
        <w:top w:val="none" w:sz="0" w:space="0" w:color="auto"/>
        <w:left w:val="none" w:sz="0" w:space="0" w:color="auto"/>
        <w:bottom w:val="none" w:sz="0" w:space="0" w:color="auto"/>
        <w:right w:val="none" w:sz="0" w:space="0" w:color="auto"/>
      </w:divBdr>
    </w:div>
    <w:div w:id="1154107798">
      <w:bodyDiv w:val="1"/>
      <w:marLeft w:val="0"/>
      <w:marRight w:val="0"/>
      <w:marTop w:val="0"/>
      <w:marBottom w:val="0"/>
      <w:divBdr>
        <w:top w:val="none" w:sz="0" w:space="0" w:color="auto"/>
        <w:left w:val="none" w:sz="0" w:space="0" w:color="auto"/>
        <w:bottom w:val="none" w:sz="0" w:space="0" w:color="auto"/>
        <w:right w:val="none" w:sz="0" w:space="0" w:color="auto"/>
      </w:divBdr>
    </w:div>
    <w:div w:id="1158615436">
      <w:bodyDiv w:val="1"/>
      <w:marLeft w:val="0"/>
      <w:marRight w:val="0"/>
      <w:marTop w:val="0"/>
      <w:marBottom w:val="0"/>
      <w:divBdr>
        <w:top w:val="none" w:sz="0" w:space="0" w:color="auto"/>
        <w:left w:val="none" w:sz="0" w:space="0" w:color="auto"/>
        <w:bottom w:val="none" w:sz="0" w:space="0" w:color="auto"/>
        <w:right w:val="none" w:sz="0" w:space="0" w:color="auto"/>
      </w:divBdr>
    </w:div>
    <w:div w:id="1165822076">
      <w:bodyDiv w:val="1"/>
      <w:marLeft w:val="0"/>
      <w:marRight w:val="0"/>
      <w:marTop w:val="0"/>
      <w:marBottom w:val="0"/>
      <w:divBdr>
        <w:top w:val="none" w:sz="0" w:space="0" w:color="auto"/>
        <w:left w:val="none" w:sz="0" w:space="0" w:color="auto"/>
        <w:bottom w:val="none" w:sz="0" w:space="0" w:color="auto"/>
        <w:right w:val="none" w:sz="0" w:space="0" w:color="auto"/>
      </w:divBdr>
    </w:div>
    <w:div w:id="1173495974">
      <w:bodyDiv w:val="1"/>
      <w:marLeft w:val="0"/>
      <w:marRight w:val="0"/>
      <w:marTop w:val="0"/>
      <w:marBottom w:val="0"/>
      <w:divBdr>
        <w:top w:val="none" w:sz="0" w:space="0" w:color="auto"/>
        <w:left w:val="none" w:sz="0" w:space="0" w:color="auto"/>
        <w:bottom w:val="none" w:sz="0" w:space="0" w:color="auto"/>
        <w:right w:val="none" w:sz="0" w:space="0" w:color="auto"/>
      </w:divBdr>
    </w:div>
    <w:div w:id="1176264929">
      <w:bodyDiv w:val="1"/>
      <w:marLeft w:val="0"/>
      <w:marRight w:val="0"/>
      <w:marTop w:val="0"/>
      <w:marBottom w:val="0"/>
      <w:divBdr>
        <w:top w:val="none" w:sz="0" w:space="0" w:color="auto"/>
        <w:left w:val="none" w:sz="0" w:space="0" w:color="auto"/>
        <w:bottom w:val="none" w:sz="0" w:space="0" w:color="auto"/>
        <w:right w:val="none" w:sz="0" w:space="0" w:color="auto"/>
      </w:divBdr>
    </w:div>
    <w:div w:id="1176267159">
      <w:bodyDiv w:val="1"/>
      <w:marLeft w:val="0"/>
      <w:marRight w:val="0"/>
      <w:marTop w:val="0"/>
      <w:marBottom w:val="0"/>
      <w:divBdr>
        <w:top w:val="none" w:sz="0" w:space="0" w:color="auto"/>
        <w:left w:val="none" w:sz="0" w:space="0" w:color="auto"/>
        <w:bottom w:val="none" w:sz="0" w:space="0" w:color="auto"/>
        <w:right w:val="none" w:sz="0" w:space="0" w:color="auto"/>
      </w:divBdr>
    </w:div>
    <w:div w:id="1180582155">
      <w:bodyDiv w:val="1"/>
      <w:marLeft w:val="0"/>
      <w:marRight w:val="0"/>
      <w:marTop w:val="0"/>
      <w:marBottom w:val="0"/>
      <w:divBdr>
        <w:top w:val="none" w:sz="0" w:space="0" w:color="auto"/>
        <w:left w:val="none" w:sz="0" w:space="0" w:color="auto"/>
        <w:bottom w:val="none" w:sz="0" w:space="0" w:color="auto"/>
        <w:right w:val="none" w:sz="0" w:space="0" w:color="auto"/>
      </w:divBdr>
    </w:div>
    <w:div w:id="1181163423">
      <w:bodyDiv w:val="1"/>
      <w:marLeft w:val="0"/>
      <w:marRight w:val="0"/>
      <w:marTop w:val="0"/>
      <w:marBottom w:val="0"/>
      <w:divBdr>
        <w:top w:val="none" w:sz="0" w:space="0" w:color="auto"/>
        <w:left w:val="none" w:sz="0" w:space="0" w:color="auto"/>
        <w:bottom w:val="none" w:sz="0" w:space="0" w:color="auto"/>
        <w:right w:val="none" w:sz="0" w:space="0" w:color="auto"/>
      </w:divBdr>
    </w:div>
    <w:div w:id="1181503353">
      <w:bodyDiv w:val="1"/>
      <w:marLeft w:val="0"/>
      <w:marRight w:val="0"/>
      <w:marTop w:val="0"/>
      <w:marBottom w:val="0"/>
      <w:divBdr>
        <w:top w:val="none" w:sz="0" w:space="0" w:color="auto"/>
        <w:left w:val="none" w:sz="0" w:space="0" w:color="auto"/>
        <w:bottom w:val="none" w:sz="0" w:space="0" w:color="auto"/>
        <w:right w:val="none" w:sz="0" w:space="0" w:color="auto"/>
      </w:divBdr>
    </w:div>
    <w:div w:id="1186747004">
      <w:bodyDiv w:val="1"/>
      <w:marLeft w:val="0"/>
      <w:marRight w:val="0"/>
      <w:marTop w:val="0"/>
      <w:marBottom w:val="0"/>
      <w:divBdr>
        <w:top w:val="none" w:sz="0" w:space="0" w:color="auto"/>
        <w:left w:val="none" w:sz="0" w:space="0" w:color="auto"/>
        <w:bottom w:val="none" w:sz="0" w:space="0" w:color="auto"/>
        <w:right w:val="none" w:sz="0" w:space="0" w:color="auto"/>
      </w:divBdr>
    </w:div>
    <w:div w:id="1192571789">
      <w:bodyDiv w:val="1"/>
      <w:marLeft w:val="0"/>
      <w:marRight w:val="0"/>
      <w:marTop w:val="0"/>
      <w:marBottom w:val="0"/>
      <w:divBdr>
        <w:top w:val="none" w:sz="0" w:space="0" w:color="auto"/>
        <w:left w:val="none" w:sz="0" w:space="0" w:color="auto"/>
        <w:bottom w:val="none" w:sz="0" w:space="0" w:color="auto"/>
        <w:right w:val="none" w:sz="0" w:space="0" w:color="auto"/>
      </w:divBdr>
    </w:div>
    <w:div w:id="1201212497">
      <w:bodyDiv w:val="1"/>
      <w:marLeft w:val="0"/>
      <w:marRight w:val="0"/>
      <w:marTop w:val="0"/>
      <w:marBottom w:val="0"/>
      <w:divBdr>
        <w:top w:val="none" w:sz="0" w:space="0" w:color="auto"/>
        <w:left w:val="none" w:sz="0" w:space="0" w:color="auto"/>
        <w:bottom w:val="none" w:sz="0" w:space="0" w:color="auto"/>
        <w:right w:val="none" w:sz="0" w:space="0" w:color="auto"/>
      </w:divBdr>
    </w:div>
    <w:div w:id="1207330528">
      <w:bodyDiv w:val="1"/>
      <w:marLeft w:val="0"/>
      <w:marRight w:val="0"/>
      <w:marTop w:val="0"/>
      <w:marBottom w:val="0"/>
      <w:divBdr>
        <w:top w:val="none" w:sz="0" w:space="0" w:color="auto"/>
        <w:left w:val="none" w:sz="0" w:space="0" w:color="auto"/>
        <w:bottom w:val="none" w:sz="0" w:space="0" w:color="auto"/>
        <w:right w:val="none" w:sz="0" w:space="0" w:color="auto"/>
      </w:divBdr>
    </w:div>
    <w:div w:id="1211503915">
      <w:bodyDiv w:val="1"/>
      <w:marLeft w:val="0"/>
      <w:marRight w:val="0"/>
      <w:marTop w:val="0"/>
      <w:marBottom w:val="0"/>
      <w:divBdr>
        <w:top w:val="none" w:sz="0" w:space="0" w:color="auto"/>
        <w:left w:val="none" w:sz="0" w:space="0" w:color="auto"/>
        <w:bottom w:val="none" w:sz="0" w:space="0" w:color="auto"/>
        <w:right w:val="none" w:sz="0" w:space="0" w:color="auto"/>
      </w:divBdr>
    </w:div>
    <w:div w:id="1216043265">
      <w:bodyDiv w:val="1"/>
      <w:marLeft w:val="0"/>
      <w:marRight w:val="0"/>
      <w:marTop w:val="0"/>
      <w:marBottom w:val="0"/>
      <w:divBdr>
        <w:top w:val="none" w:sz="0" w:space="0" w:color="auto"/>
        <w:left w:val="none" w:sz="0" w:space="0" w:color="auto"/>
        <w:bottom w:val="none" w:sz="0" w:space="0" w:color="auto"/>
        <w:right w:val="none" w:sz="0" w:space="0" w:color="auto"/>
      </w:divBdr>
      <w:divsChild>
        <w:div w:id="1389496179">
          <w:marLeft w:val="547"/>
          <w:marRight w:val="0"/>
          <w:marTop w:val="0"/>
          <w:marBottom w:val="0"/>
          <w:divBdr>
            <w:top w:val="none" w:sz="0" w:space="0" w:color="auto"/>
            <w:left w:val="none" w:sz="0" w:space="0" w:color="auto"/>
            <w:bottom w:val="none" w:sz="0" w:space="0" w:color="auto"/>
            <w:right w:val="none" w:sz="0" w:space="0" w:color="auto"/>
          </w:divBdr>
        </w:div>
      </w:divsChild>
    </w:div>
    <w:div w:id="1216434584">
      <w:bodyDiv w:val="1"/>
      <w:marLeft w:val="0"/>
      <w:marRight w:val="0"/>
      <w:marTop w:val="0"/>
      <w:marBottom w:val="0"/>
      <w:divBdr>
        <w:top w:val="none" w:sz="0" w:space="0" w:color="auto"/>
        <w:left w:val="none" w:sz="0" w:space="0" w:color="auto"/>
        <w:bottom w:val="none" w:sz="0" w:space="0" w:color="auto"/>
        <w:right w:val="none" w:sz="0" w:space="0" w:color="auto"/>
      </w:divBdr>
    </w:div>
    <w:div w:id="1221984282">
      <w:bodyDiv w:val="1"/>
      <w:marLeft w:val="0"/>
      <w:marRight w:val="0"/>
      <w:marTop w:val="0"/>
      <w:marBottom w:val="0"/>
      <w:divBdr>
        <w:top w:val="none" w:sz="0" w:space="0" w:color="auto"/>
        <w:left w:val="none" w:sz="0" w:space="0" w:color="auto"/>
        <w:bottom w:val="none" w:sz="0" w:space="0" w:color="auto"/>
        <w:right w:val="none" w:sz="0" w:space="0" w:color="auto"/>
      </w:divBdr>
    </w:div>
    <w:div w:id="1225264326">
      <w:bodyDiv w:val="1"/>
      <w:marLeft w:val="0"/>
      <w:marRight w:val="0"/>
      <w:marTop w:val="0"/>
      <w:marBottom w:val="0"/>
      <w:divBdr>
        <w:top w:val="none" w:sz="0" w:space="0" w:color="auto"/>
        <w:left w:val="none" w:sz="0" w:space="0" w:color="auto"/>
        <w:bottom w:val="none" w:sz="0" w:space="0" w:color="auto"/>
        <w:right w:val="none" w:sz="0" w:space="0" w:color="auto"/>
      </w:divBdr>
      <w:divsChild>
        <w:div w:id="1820924495">
          <w:marLeft w:val="0"/>
          <w:marRight w:val="0"/>
          <w:marTop w:val="0"/>
          <w:marBottom w:val="0"/>
          <w:divBdr>
            <w:top w:val="none" w:sz="0" w:space="0" w:color="auto"/>
            <w:left w:val="none" w:sz="0" w:space="0" w:color="auto"/>
            <w:bottom w:val="none" w:sz="0" w:space="0" w:color="auto"/>
            <w:right w:val="none" w:sz="0" w:space="0" w:color="auto"/>
          </w:divBdr>
          <w:divsChild>
            <w:div w:id="337584170">
              <w:marLeft w:val="0"/>
              <w:marRight w:val="0"/>
              <w:marTop w:val="0"/>
              <w:marBottom w:val="0"/>
              <w:divBdr>
                <w:top w:val="none" w:sz="0" w:space="0" w:color="auto"/>
                <w:left w:val="none" w:sz="0" w:space="0" w:color="auto"/>
                <w:bottom w:val="none" w:sz="0" w:space="0" w:color="auto"/>
                <w:right w:val="none" w:sz="0" w:space="0" w:color="auto"/>
              </w:divBdr>
              <w:divsChild>
                <w:div w:id="33776043">
                  <w:marLeft w:val="0"/>
                  <w:marRight w:val="0"/>
                  <w:marTop w:val="0"/>
                  <w:marBottom w:val="0"/>
                  <w:divBdr>
                    <w:top w:val="none" w:sz="0" w:space="0" w:color="auto"/>
                    <w:left w:val="none" w:sz="0" w:space="0" w:color="auto"/>
                    <w:bottom w:val="none" w:sz="0" w:space="0" w:color="auto"/>
                    <w:right w:val="none" w:sz="0" w:space="0" w:color="auto"/>
                  </w:divBdr>
                  <w:divsChild>
                    <w:div w:id="1658538346">
                      <w:marLeft w:val="0"/>
                      <w:marRight w:val="0"/>
                      <w:marTop w:val="0"/>
                      <w:marBottom w:val="0"/>
                      <w:divBdr>
                        <w:top w:val="none" w:sz="0" w:space="0" w:color="auto"/>
                        <w:left w:val="none" w:sz="0" w:space="0" w:color="auto"/>
                        <w:bottom w:val="none" w:sz="0" w:space="0" w:color="auto"/>
                        <w:right w:val="none" w:sz="0" w:space="0" w:color="auto"/>
                      </w:divBdr>
                      <w:divsChild>
                        <w:div w:id="64863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2813875">
      <w:bodyDiv w:val="1"/>
      <w:marLeft w:val="0"/>
      <w:marRight w:val="0"/>
      <w:marTop w:val="0"/>
      <w:marBottom w:val="0"/>
      <w:divBdr>
        <w:top w:val="none" w:sz="0" w:space="0" w:color="auto"/>
        <w:left w:val="none" w:sz="0" w:space="0" w:color="auto"/>
        <w:bottom w:val="none" w:sz="0" w:space="0" w:color="auto"/>
        <w:right w:val="none" w:sz="0" w:space="0" w:color="auto"/>
      </w:divBdr>
    </w:div>
    <w:div w:id="1238513761">
      <w:bodyDiv w:val="1"/>
      <w:marLeft w:val="0"/>
      <w:marRight w:val="0"/>
      <w:marTop w:val="0"/>
      <w:marBottom w:val="0"/>
      <w:divBdr>
        <w:top w:val="none" w:sz="0" w:space="0" w:color="auto"/>
        <w:left w:val="none" w:sz="0" w:space="0" w:color="auto"/>
        <w:bottom w:val="none" w:sz="0" w:space="0" w:color="auto"/>
        <w:right w:val="none" w:sz="0" w:space="0" w:color="auto"/>
      </w:divBdr>
    </w:div>
    <w:div w:id="1245068965">
      <w:bodyDiv w:val="1"/>
      <w:marLeft w:val="0"/>
      <w:marRight w:val="0"/>
      <w:marTop w:val="0"/>
      <w:marBottom w:val="0"/>
      <w:divBdr>
        <w:top w:val="none" w:sz="0" w:space="0" w:color="auto"/>
        <w:left w:val="none" w:sz="0" w:space="0" w:color="auto"/>
        <w:bottom w:val="none" w:sz="0" w:space="0" w:color="auto"/>
        <w:right w:val="none" w:sz="0" w:space="0" w:color="auto"/>
      </w:divBdr>
    </w:div>
    <w:div w:id="1247035180">
      <w:bodyDiv w:val="1"/>
      <w:marLeft w:val="0"/>
      <w:marRight w:val="0"/>
      <w:marTop w:val="0"/>
      <w:marBottom w:val="0"/>
      <w:divBdr>
        <w:top w:val="none" w:sz="0" w:space="0" w:color="auto"/>
        <w:left w:val="none" w:sz="0" w:space="0" w:color="auto"/>
        <w:bottom w:val="none" w:sz="0" w:space="0" w:color="auto"/>
        <w:right w:val="none" w:sz="0" w:space="0" w:color="auto"/>
      </w:divBdr>
    </w:div>
    <w:div w:id="1253590023">
      <w:bodyDiv w:val="1"/>
      <w:marLeft w:val="0"/>
      <w:marRight w:val="0"/>
      <w:marTop w:val="0"/>
      <w:marBottom w:val="0"/>
      <w:divBdr>
        <w:top w:val="none" w:sz="0" w:space="0" w:color="auto"/>
        <w:left w:val="none" w:sz="0" w:space="0" w:color="auto"/>
        <w:bottom w:val="none" w:sz="0" w:space="0" w:color="auto"/>
        <w:right w:val="none" w:sz="0" w:space="0" w:color="auto"/>
      </w:divBdr>
    </w:div>
    <w:div w:id="1253779052">
      <w:bodyDiv w:val="1"/>
      <w:marLeft w:val="0"/>
      <w:marRight w:val="0"/>
      <w:marTop w:val="0"/>
      <w:marBottom w:val="0"/>
      <w:divBdr>
        <w:top w:val="none" w:sz="0" w:space="0" w:color="auto"/>
        <w:left w:val="none" w:sz="0" w:space="0" w:color="auto"/>
        <w:bottom w:val="none" w:sz="0" w:space="0" w:color="auto"/>
        <w:right w:val="none" w:sz="0" w:space="0" w:color="auto"/>
      </w:divBdr>
    </w:div>
    <w:div w:id="1261528669">
      <w:bodyDiv w:val="1"/>
      <w:marLeft w:val="0"/>
      <w:marRight w:val="0"/>
      <w:marTop w:val="0"/>
      <w:marBottom w:val="0"/>
      <w:divBdr>
        <w:top w:val="none" w:sz="0" w:space="0" w:color="auto"/>
        <w:left w:val="none" w:sz="0" w:space="0" w:color="auto"/>
        <w:bottom w:val="none" w:sz="0" w:space="0" w:color="auto"/>
        <w:right w:val="none" w:sz="0" w:space="0" w:color="auto"/>
      </w:divBdr>
    </w:div>
    <w:div w:id="1264341997">
      <w:bodyDiv w:val="1"/>
      <w:marLeft w:val="0"/>
      <w:marRight w:val="0"/>
      <w:marTop w:val="0"/>
      <w:marBottom w:val="0"/>
      <w:divBdr>
        <w:top w:val="none" w:sz="0" w:space="0" w:color="auto"/>
        <w:left w:val="none" w:sz="0" w:space="0" w:color="auto"/>
        <w:bottom w:val="none" w:sz="0" w:space="0" w:color="auto"/>
        <w:right w:val="none" w:sz="0" w:space="0" w:color="auto"/>
      </w:divBdr>
    </w:div>
    <w:div w:id="1272320641">
      <w:bodyDiv w:val="1"/>
      <w:marLeft w:val="0"/>
      <w:marRight w:val="0"/>
      <w:marTop w:val="0"/>
      <w:marBottom w:val="0"/>
      <w:divBdr>
        <w:top w:val="none" w:sz="0" w:space="0" w:color="auto"/>
        <w:left w:val="none" w:sz="0" w:space="0" w:color="auto"/>
        <w:bottom w:val="none" w:sz="0" w:space="0" w:color="auto"/>
        <w:right w:val="none" w:sz="0" w:space="0" w:color="auto"/>
      </w:divBdr>
    </w:div>
    <w:div w:id="1278483891">
      <w:bodyDiv w:val="1"/>
      <w:marLeft w:val="0"/>
      <w:marRight w:val="0"/>
      <w:marTop w:val="0"/>
      <w:marBottom w:val="0"/>
      <w:divBdr>
        <w:top w:val="none" w:sz="0" w:space="0" w:color="auto"/>
        <w:left w:val="none" w:sz="0" w:space="0" w:color="auto"/>
        <w:bottom w:val="none" w:sz="0" w:space="0" w:color="auto"/>
        <w:right w:val="none" w:sz="0" w:space="0" w:color="auto"/>
      </w:divBdr>
    </w:div>
    <w:div w:id="1281111620">
      <w:bodyDiv w:val="1"/>
      <w:marLeft w:val="0"/>
      <w:marRight w:val="0"/>
      <w:marTop w:val="0"/>
      <w:marBottom w:val="0"/>
      <w:divBdr>
        <w:top w:val="none" w:sz="0" w:space="0" w:color="auto"/>
        <w:left w:val="none" w:sz="0" w:space="0" w:color="auto"/>
        <w:bottom w:val="none" w:sz="0" w:space="0" w:color="auto"/>
        <w:right w:val="none" w:sz="0" w:space="0" w:color="auto"/>
      </w:divBdr>
    </w:div>
    <w:div w:id="1283538330">
      <w:bodyDiv w:val="1"/>
      <w:marLeft w:val="0"/>
      <w:marRight w:val="0"/>
      <w:marTop w:val="0"/>
      <w:marBottom w:val="0"/>
      <w:divBdr>
        <w:top w:val="none" w:sz="0" w:space="0" w:color="auto"/>
        <w:left w:val="none" w:sz="0" w:space="0" w:color="auto"/>
        <w:bottom w:val="none" w:sz="0" w:space="0" w:color="auto"/>
        <w:right w:val="none" w:sz="0" w:space="0" w:color="auto"/>
      </w:divBdr>
    </w:div>
    <w:div w:id="1287859486">
      <w:bodyDiv w:val="1"/>
      <w:marLeft w:val="0"/>
      <w:marRight w:val="0"/>
      <w:marTop w:val="0"/>
      <w:marBottom w:val="0"/>
      <w:divBdr>
        <w:top w:val="none" w:sz="0" w:space="0" w:color="auto"/>
        <w:left w:val="none" w:sz="0" w:space="0" w:color="auto"/>
        <w:bottom w:val="none" w:sz="0" w:space="0" w:color="auto"/>
        <w:right w:val="none" w:sz="0" w:space="0" w:color="auto"/>
      </w:divBdr>
    </w:div>
    <w:div w:id="1294945531">
      <w:bodyDiv w:val="1"/>
      <w:marLeft w:val="0"/>
      <w:marRight w:val="0"/>
      <w:marTop w:val="0"/>
      <w:marBottom w:val="0"/>
      <w:divBdr>
        <w:top w:val="none" w:sz="0" w:space="0" w:color="auto"/>
        <w:left w:val="none" w:sz="0" w:space="0" w:color="auto"/>
        <w:bottom w:val="none" w:sz="0" w:space="0" w:color="auto"/>
        <w:right w:val="none" w:sz="0" w:space="0" w:color="auto"/>
      </w:divBdr>
    </w:div>
    <w:div w:id="1295254968">
      <w:bodyDiv w:val="1"/>
      <w:marLeft w:val="0"/>
      <w:marRight w:val="0"/>
      <w:marTop w:val="0"/>
      <w:marBottom w:val="0"/>
      <w:divBdr>
        <w:top w:val="none" w:sz="0" w:space="0" w:color="auto"/>
        <w:left w:val="none" w:sz="0" w:space="0" w:color="auto"/>
        <w:bottom w:val="none" w:sz="0" w:space="0" w:color="auto"/>
        <w:right w:val="none" w:sz="0" w:space="0" w:color="auto"/>
      </w:divBdr>
    </w:div>
    <w:div w:id="1299916903">
      <w:bodyDiv w:val="1"/>
      <w:marLeft w:val="0"/>
      <w:marRight w:val="0"/>
      <w:marTop w:val="0"/>
      <w:marBottom w:val="0"/>
      <w:divBdr>
        <w:top w:val="none" w:sz="0" w:space="0" w:color="auto"/>
        <w:left w:val="none" w:sz="0" w:space="0" w:color="auto"/>
        <w:bottom w:val="none" w:sz="0" w:space="0" w:color="auto"/>
        <w:right w:val="none" w:sz="0" w:space="0" w:color="auto"/>
      </w:divBdr>
    </w:div>
    <w:div w:id="1300039941">
      <w:bodyDiv w:val="1"/>
      <w:marLeft w:val="0"/>
      <w:marRight w:val="0"/>
      <w:marTop w:val="0"/>
      <w:marBottom w:val="0"/>
      <w:divBdr>
        <w:top w:val="none" w:sz="0" w:space="0" w:color="auto"/>
        <w:left w:val="none" w:sz="0" w:space="0" w:color="auto"/>
        <w:bottom w:val="none" w:sz="0" w:space="0" w:color="auto"/>
        <w:right w:val="none" w:sz="0" w:space="0" w:color="auto"/>
      </w:divBdr>
    </w:div>
    <w:div w:id="1310329182">
      <w:bodyDiv w:val="1"/>
      <w:marLeft w:val="0"/>
      <w:marRight w:val="0"/>
      <w:marTop w:val="0"/>
      <w:marBottom w:val="0"/>
      <w:divBdr>
        <w:top w:val="none" w:sz="0" w:space="0" w:color="auto"/>
        <w:left w:val="none" w:sz="0" w:space="0" w:color="auto"/>
        <w:bottom w:val="none" w:sz="0" w:space="0" w:color="auto"/>
        <w:right w:val="none" w:sz="0" w:space="0" w:color="auto"/>
      </w:divBdr>
    </w:div>
    <w:div w:id="1314918412">
      <w:bodyDiv w:val="1"/>
      <w:marLeft w:val="0"/>
      <w:marRight w:val="0"/>
      <w:marTop w:val="0"/>
      <w:marBottom w:val="0"/>
      <w:divBdr>
        <w:top w:val="none" w:sz="0" w:space="0" w:color="auto"/>
        <w:left w:val="none" w:sz="0" w:space="0" w:color="auto"/>
        <w:bottom w:val="none" w:sz="0" w:space="0" w:color="auto"/>
        <w:right w:val="none" w:sz="0" w:space="0" w:color="auto"/>
      </w:divBdr>
    </w:div>
    <w:div w:id="1319923301">
      <w:bodyDiv w:val="1"/>
      <w:marLeft w:val="0"/>
      <w:marRight w:val="0"/>
      <w:marTop w:val="0"/>
      <w:marBottom w:val="0"/>
      <w:divBdr>
        <w:top w:val="none" w:sz="0" w:space="0" w:color="auto"/>
        <w:left w:val="none" w:sz="0" w:space="0" w:color="auto"/>
        <w:bottom w:val="none" w:sz="0" w:space="0" w:color="auto"/>
        <w:right w:val="none" w:sz="0" w:space="0" w:color="auto"/>
      </w:divBdr>
    </w:div>
    <w:div w:id="1327368912">
      <w:bodyDiv w:val="1"/>
      <w:marLeft w:val="0"/>
      <w:marRight w:val="0"/>
      <w:marTop w:val="0"/>
      <w:marBottom w:val="0"/>
      <w:divBdr>
        <w:top w:val="none" w:sz="0" w:space="0" w:color="auto"/>
        <w:left w:val="none" w:sz="0" w:space="0" w:color="auto"/>
        <w:bottom w:val="none" w:sz="0" w:space="0" w:color="auto"/>
        <w:right w:val="none" w:sz="0" w:space="0" w:color="auto"/>
      </w:divBdr>
    </w:div>
    <w:div w:id="1327703496">
      <w:bodyDiv w:val="1"/>
      <w:marLeft w:val="0"/>
      <w:marRight w:val="0"/>
      <w:marTop w:val="0"/>
      <w:marBottom w:val="0"/>
      <w:divBdr>
        <w:top w:val="none" w:sz="0" w:space="0" w:color="auto"/>
        <w:left w:val="none" w:sz="0" w:space="0" w:color="auto"/>
        <w:bottom w:val="none" w:sz="0" w:space="0" w:color="auto"/>
        <w:right w:val="none" w:sz="0" w:space="0" w:color="auto"/>
      </w:divBdr>
    </w:div>
    <w:div w:id="1347711726">
      <w:bodyDiv w:val="1"/>
      <w:marLeft w:val="0"/>
      <w:marRight w:val="0"/>
      <w:marTop w:val="0"/>
      <w:marBottom w:val="0"/>
      <w:divBdr>
        <w:top w:val="none" w:sz="0" w:space="0" w:color="auto"/>
        <w:left w:val="none" w:sz="0" w:space="0" w:color="auto"/>
        <w:bottom w:val="none" w:sz="0" w:space="0" w:color="auto"/>
        <w:right w:val="none" w:sz="0" w:space="0" w:color="auto"/>
      </w:divBdr>
    </w:div>
    <w:div w:id="1347827154">
      <w:bodyDiv w:val="1"/>
      <w:marLeft w:val="0"/>
      <w:marRight w:val="0"/>
      <w:marTop w:val="0"/>
      <w:marBottom w:val="0"/>
      <w:divBdr>
        <w:top w:val="none" w:sz="0" w:space="0" w:color="auto"/>
        <w:left w:val="none" w:sz="0" w:space="0" w:color="auto"/>
        <w:bottom w:val="none" w:sz="0" w:space="0" w:color="auto"/>
        <w:right w:val="none" w:sz="0" w:space="0" w:color="auto"/>
      </w:divBdr>
    </w:div>
    <w:div w:id="1349258619">
      <w:bodyDiv w:val="1"/>
      <w:marLeft w:val="0"/>
      <w:marRight w:val="0"/>
      <w:marTop w:val="0"/>
      <w:marBottom w:val="0"/>
      <w:divBdr>
        <w:top w:val="none" w:sz="0" w:space="0" w:color="auto"/>
        <w:left w:val="none" w:sz="0" w:space="0" w:color="auto"/>
        <w:bottom w:val="none" w:sz="0" w:space="0" w:color="auto"/>
        <w:right w:val="none" w:sz="0" w:space="0" w:color="auto"/>
      </w:divBdr>
    </w:div>
    <w:div w:id="1351908471">
      <w:bodyDiv w:val="1"/>
      <w:marLeft w:val="0"/>
      <w:marRight w:val="0"/>
      <w:marTop w:val="0"/>
      <w:marBottom w:val="0"/>
      <w:divBdr>
        <w:top w:val="none" w:sz="0" w:space="0" w:color="auto"/>
        <w:left w:val="none" w:sz="0" w:space="0" w:color="auto"/>
        <w:bottom w:val="none" w:sz="0" w:space="0" w:color="auto"/>
        <w:right w:val="none" w:sz="0" w:space="0" w:color="auto"/>
      </w:divBdr>
    </w:div>
    <w:div w:id="1358000504">
      <w:bodyDiv w:val="1"/>
      <w:marLeft w:val="0"/>
      <w:marRight w:val="0"/>
      <w:marTop w:val="0"/>
      <w:marBottom w:val="0"/>
      <w:divBdr>
        <w:top w:val="none" w:sz="0" w:space="0" w:color="auto"/>
        <w:left w:val="none" w:sz="0" w:space="0" w:color="auto"/>
        <w:bottom w:val="none" w:sz="0" w:space="0" w:color="auto"/>
        <w:right w:val="none" w:sz="0" w:space="0" w:color="auto"/>
      </w:divBdr>
    </w:div>
    <w:div w:id="1363630317">
      <w:bodyDiv w:val="1"/>
      <w:marLeft w:val="0"/>
      <w:marRight w:val="0"/>
      <w:marTop w:val="0"/>
      <w:marBottom w:val="0"/>
      <w:divBdr>
        <w:top w:val="none" w:sz="0" w:space="0" w:color="auto"/>
        <w:left w:val="none" w:sz="0" w:space="0" w:color="auto"/>
        <w:bottom w:val="none" w:sz="0" w:space="0" w:color="auto"/>
        <w:right w:val="none" w:sz="0" w:space="0" w:color="auto"/>
      </w:divBdr>
    </w:div>
    <w:div w:id="1365056809">
      <w:bodyDiv w:val="1"/>
      <w:marLeft w:val="0"/>
      <w:marRight w:val="0"/>
      <w:marTop w:val="0"/>
      <w:marBottom w:val="0"/>
      <w:divBdr>
        <w:top w:val="none" w:sz="0" w:space="0" w:color="auto"/>
        <w:left w:val="none" w:sz="0" w:space="0" w:color="auto"/>
        <w:bottom w:val="none" w:sz="0" w:space="0" w:color="auto"/>
        <w:right w:val="none" w:sz="0" w:space="0" w:color="auto"/>
      </w:divBdr>
    </w:div>
    <w:div w:id="1387292561">
      <w:bodyDiv w:val="1"/>
      <w:marLeft w:val="0"/>
      <w:marRight w:val="0"/>
      <w:marTop w:val="0"/>
      <w:marBottom w:val="0"/>
      <w:divBdr>
        <w:top w:val="none" w:sz="0" w:space="0" w:color="auto"/>
        <w:left w:val="none" w:sz="0" w:space="0" w:color="auto"/>
        <w:bottom w:val="none" w:sz="0" w:space="0" w:color="auto"/>
        <w:right w:val="none" w:sz="0" w:space="0" w:color="auto"/>
      </w:divBdr>
    </w:div>
    <w:div w:id="1392776085">
      <w:bodyDiv w:val="1"/>
      <w:marLeft w:val="0"/>
      <w:marRight w:val="0"/>
      <w:marTop w:val="0"/>
      <w:marBottom w:val="0"/>
      <w:divBdr>
        <w:top w:val="none" w:sz="0" w:space="0" w:color="auto"/>
        <w:left w:val="none" w:sz="0" w:space="0" w:color="auto"/>
        <w:bottom w:val="none" w:sz="0" w:space="0" w:color="auto"/>
        <w:right w:val="none" w:sz="0" w:space="0" w:color="auto"/>
      </w:divBdr>
    </w:div>
    <w:div w:id="1394238364">
      <w:bodyDiv w:val="1"/>
      <w:marLeft w:val="0"/>
      <w:marRight w:val="0"/>
      <w:marTop w:val="0"/>
      <w:marBottom w:val="0"/>
      <w:divBdr>
        <w:top w:val="none" w:sz="0" w:space="0" w:color="auto"/>
        <w:left w:val="none" w:sz="0" w:space="0" w:color="auto"/>
        <w:bottom w:val="none" w:sz="0" w:space="0" w:color="auto"/>
        <w:right w:val="none" w:sz="0" w:space="0" w:color="auto"/>
      </w:divBdr>
    </w:div>
    <w:div w:id="1406419250">
      <w:bodyDiv w:val="1"/>
      <w:marLeft w:val="0"/>
      <w:marRight w:val="0"/>
      <w:marTop w:val="0"/>
      <w:marBottom w:val="0"/>
      <w:divBdr>
        <w:top w:val="none" w:sz="0" w:space="0" w:color="auto"/>
        <w:left w:val="none" w:sz="0" w:space="0" w:color="auto"/>
        <w:bottom w:val="none" w:sz="0" w:space="0" w:color="auto"/>
        <w:right w:val="none" w:sz="0" w:space="0" w:color="auto"/>
      </w:divBdr>
    </w:div>
    <w:div w:id="1408065560">
      <w:bodyDiv w:val="1"/>
      <w:marLeft w:val="0"/>
      <w:marRight w:val="0"/>
      <w:marTop w:val="0"/>
      <w:marBottom w:val="0"/>
      <w:divBdr>
        <w:top w:val="none" w:sz="0" w:space="0" w:color="auto"/>
        <w:left w:val="none" w:sz="0" w:space="0" w:color="auto"/>
        <w:bottom w:val="none" w:sz="0" w:space="0" w:color="auto"/>
        <w:right w:val="none" w:sz="0" w:space="0" w:color="auto"/>
      </w:divBdr>
    </w:div>
    <w:div w:id="1409301031">
      <w:bodyDiv w:val="1"/>
      <w:marLeft w:val="0"/>
      <w:marRight w:val="0"/>
      <w:marTop w:val="0"/>
      <w:marBottom w:val="0"/>
      <w:divBdr>
        <w:top w:val="none" w:sz="0" w:space="0" w:color="auto"/>
        <w:left w:val="none" w:sz="0" w:space="0" w:color="auto"/>
        <w:bottom w:val="none" w:sz="0" w:space="0" w:color="auto"/>
        <w:right w:val="none" w:sz="0" w:space="0" w:color="auto"/>
      </w:divBdr>
    </w:div>
    <w:div w:id="1412003656">
      <w:bodyDiv w:val="1"/>
      <w:marLeft w:val="0"/>
      <w:marRight w:val="0"/>
      <w:marTop w:val="0"/>
      <w:marBottom w:val="0"/>
      <w:divBdr>
        <w:top w:val="none" w:sz="0" w:space="0" w:color="auto"/>
        <w:left w:val="none" w:sz="0" w:space="0" w:color="auto"/>
        <w:bottom w:val="none" w:sz="0" w:space="0" w:color="auto"/>
        <w:right w:val="none" w:sz="0" w:space="0" w:color="auto"/>
      </w:divBdr>
    </w:div>
    <w:div w:id="1416129462">
      <w:bodyDiv w:val="1"/>
      <w:marLeft w:val="0"/>
      <w:marRight w:val="0"/>
      <w:marTop w:val="0"/>
      <w:marBottom w:val="0"/>
      <w:divBdr>
        <w:top w:val="none" w:sz="0" w:space="0" w:color="auto"/>
        <w:left w:val="none" w:sz="0" w:space="0" w:color="auto"/>
        <w:bottom w:val="none" w:sz="0" w:space="0" w:color="auto"/>
        <w:right w:val="none" w:sz="0" w:space="0" w:color="auto"/>
      </w:divBdr>
      <w:divsChild>
        <w:div w:id="381565605">
          <w:marLeft w:val="547"/>
          <w:marRight w:val="0"/>
          <w:marTop w:val="96"/>
          <w:marBottom w:val="0"/>
          <w:divBdr>
            <w:top w:val="none" w:sz="0" w:space="0" w:color="auto"/>
            <w:left w:val="none" w:sz="0" w:space="0" w:color="auto"/>
            <w:bottom w:val="none" w:sz="0" w:space="0" w:color="auto"/>
            <w:right w:val="none" w:sz="0" w:space="0" w:color="auto"/>
          </w:divBdr>
        </w:div>
        <w:div w:id="1073158729">
          <w:marLeft w:val="1166"/>
          <w:marRight w:val="0"/>
          <w:marTop w:val="77"/>
          <w:marBottom w:val="0"/>
          <w:divBdr>
            <w:top w:val="none" w:sz="0" w:space="0" w:color="auto"/>
            <w:left w:val="none" w:sz="0" w:space="0" w:color="auto"/>
            <w:bottom w:val="none" w:sz="0" w:space="0" w:color="auto"/>
            <w:right w:val="none" w:sz="0" w:space="0" w:color="auto"/>
          </w:divBdr>
        </w:div>
        <w:div w:id="982931427">
          <w:marLeft w:val="1166"/>
          <w:marRight w:val="0"/>
          <w:marTop w:val="77"/>
          <w:marBottom w:val="0"/>
          <w:divBdr>
            <w:top w:val="none" w:sz="0" w:space="0" w:color="auto"/>
            <w:left w:val="none" w:sz="0" w:space="0" w:color="auto"/>
            <w:bottom w:val="none" w:sz="0" w:space="0" w:color="auto"/>
            <w:right w:val="none" w:sz="0" w:space="0" w:color="auto"/>
          </w:divBdr>
        </w:div>
        <w:div w:id="295530441">
          <w:marLeft w:val="1166"/>
          <w:marRight w:val="0"/>
          <w:marTop w:val="77"/>
          <w:marBottom w:val="0"/>
          <w:divBdr>
            <w:top w:val="none" w:sz="0" w:space="0" w:color="auto"/>
            <w:left w:val="none" w:sz="0" w:space="0" w:color="auto"/>
            <w:bottom w:val="none" w:sz="0" w:space="0" w:color="auto"/>
            <w:right w:val="none" w:sz="0" w:space="0" w:color="auto"/>
          </w:divBdr>
        </w:div>
        <w:div w:id="2091389839">
          <w:marLeft w:val="1166"/>
          <w:marRight w:val="0"/>
          <w:marTop w:val="77"/>
          <w:marBottom w:val="0"/>
          <w:divBdr>
            <w:top w:val="none" w:sz="0" w:space="0" w:color="auto"/>
            <w:left w:val="none" w:sz="0" w:space="0" w:color="auto"/>
            <w:bottom w:val="none" w:sz="0" w:space="0" w:color="auto"/>
            <w:right w:val="none" w:sz="0" w:space="0" w:color="auto"/>
          </w:divBdr>
        </w:div>
      </w:divsChild>
    </w:div>
    <w:div w:id="1426919182">
      <w:bodyDiv w:val="1"/>
      <w:marLeft w:val="0"/>
      <w:marRight w:val="0"/>
      <w:marTop w:val="0"/>
      <w:marBottom w:val="0"/>
      <w:divBdr>
        <w:top w:val="none" w:sz="0" w:space="0" w:color="auto"/>
        <w:left w:val="none" w:sz="0" w:space="0" w:color="auto"/>
        <w:bottom w:val="none" w:sz="0" w:space="0" w:color="auto"/>
        <w:right w:val="none" w:sz="0" w:space="0" w:color="auto"/>
      </w:divBdr>
    </w:div>
    <w:div w:id="1430663738">
      <w:bodyDiv w:val="1"/>
      <w:marLeft w:val="0"/>
      <w:marRight w:val="0"/>
      <w:marTop w:val="0"/>
      <w:marBottom w:val="0"/>
      <w:divBdr>
        <w:top w:val="none" w:sz="0" w:space="0" w:color="auto"/>
        <w:left w:val="none" w:sz="0" w:space="0" w:color="auto"/>
        <w:bottom w:val="none" w:sz="0" w:space="0" w:color="auto"/>
        <w:right w:val="none" w:sz="0" w:space="0" w:color="auto"/>
      </w:divBdr>
    </w:div>
    <w:div w:id="1431971297">
      <w:bodyDiv w:val="1"/>
      <w:marLeft w:val="0"/>
      <w:marRight w:val="0"/>
      <w:marTop w:val="0"/>
      <w:marBottom w:val="0"/>
      <w:divBdr>
        <w:top w:val="none" w:sz="0" w:space="0" w:color="auto"/>
        <w:left w:val="none" w:sz="0" w:space="0" w:color="auto"/>
        <w:bottom w:val="none" w:sz="0" w:space="0" w:color="auto"/>
        <w:right w:val="none" w:sz="0" w:space="0" w:color="auto"/>
      </w:divBdr>
    </w:div>
    <w:div w:id="1433086662">
      <w:bodyDiv w:val="1"/>
      <w:marLeft w:val="0"/>
      <w:marRight w:val="0"/>
      <w:marTop w:val="0"/>
      <w:marBottom w:val="0"/>
      <w:divBdr>
        <w:top w:val="none" w:sz="0" w:space="0" w:color="auto"/>
        <w:left w:val="none" w:sz="0" w:space="0" w:color="auto"/>
        <w:bottom w:val="none" w:sz="0" w:space="0" w:color="auto"/>
        <w:right w:val="none" w:sz="0" w:space="0" w:color="auto"/>
      </w:divBdr>
      <w:divsChild>
        <w:div w:id="243147710">
          <w:marLeft w:val="0"/>
          <w:marRight w:val="0"/>
          <w:marTop w:val="0"/>
          <w:marBottom w:val="0"/>
          <w:divBdr>
            <w:top w:val="none" w:sz="0" w:space="0" w:color="auto"/>
            <w:left w:val="none" w:sz="0" w:space="0" w:color="auto"/>
            <w:bottom w:val="none" w:sz="0" w:space="0" w:color="auto"/>
            <w:right w:val="none" w:sz="0" w:space="0" w:color="auto"/>
          </w:divBdr>
          <w:divsChild>
            <w:div w:id="76295705">
              <w:marLeft w:val="0"/>
              <w:marRight w:val="0"/>
              <w:marTop w:val="0"/>
              <w:marBottom w:val="0"/>
              <w:divBdr>
                <w:top w:val="none" w:sz="0" w:space="0" w:color="auto"/>
                <w:left w:val="none" w:sz="0" w:space="0" w:color="auto"/>
                <w:bottom w:val="none" w:sz="0" w:space="0" w:color="auto"/>
                <w:right w:val="none" w:sz="0" w:space="0" w:color="auto"/>
              </w:divBdr>
              <w:divsChild>
                <w:div w:id="648170488">
                  <w:marLeft w:val="0"/>
                  <w:marRight w:val="0"/>
                  <w:marTop w:val="0"/>
                  <w:marBottom w:val="0"/>
                  <w:divBdr>
                    <w:top w:val="none" w:sz="0" w:space="0" w:color="auto"/>
                    <w:left w:val="none" w:sz="0" w:space="0" w:color="auto"/>
                    <w:bottom w:val="none" w:sz="0" w:space="0" w:color="auto"/>
                    <w:right w:val="none" w:sz="0" w:space="0" w:color="auto"/>
                  </w:divBdr>
                  <w:divsChild>
                    <w:div w:id="585303939">
                      <w:marLeft w:val="0"/>
                      <w:marRight w:val="0"/>
                      <w:marTop w:val="0"/>
                      <w:marBottom w:val="0"/>
                      <w:divBdr>
                        <w:top w:val="none" w:sz="0" w:space="0" w:color="auto"/>
                        <w:left w:val="none" w:sz="0" w:space="0" w:color="auto"/>
                        <w:bottom w:val="none" w:sz="0" w:space="0" w:color="auto"/>
                        <w:right w:val="none" w:sz="0" w:space="0" w:color="auto"/>
                      </w:divBdr>
                      <w:divsChild>
                        <w:div w:id="963462096">
                          <w:marLeft w:val="0"/>
                          <w:marRight w:val="0"/>
                          <w:marTop w:val="0"/>
                          <w:marBottom w:val="0"/>
                          <w:divBdr>
                            <w:top w:val="none" w:sz="0" w:space="0" w:color="auto"/>
                            <w:left w:val="none" w:sz="0" w:space="0" w:color="auto"/>
                            <w:bottom w:val="none" w:sz="0" w:space="0" w:color="auto"/>
                            <w:right w:val="none" w:sz="0" w:space="0" w:color="auto"/>
                          </w:divBdr>
                          <w:divsChild>
                            <w:div w:id="2016761820">
                              <w:marLeft w:val="0"/>
                              <w:marRight w:val="0"/>
                              <w:marTop w:val="0"/>
                              <w:marBottom w:val="0"/>
                              <w:divBdr>
                                <w:top w:val="none" w:sz="0" w:space="0" w:color="auto"/>
                                <w:left w:val="none" w:sz="0" w:space="0" w:color="auto"/>
                                <w:bottom w:val="none" w:sz="0" w:space="0" w:color="auto"/>
                                <w:right w:val="none" w:sz="0" w:space="0" w:color="auto"/>
                              </w:divBdr>
                              <w:divsChild>
                                <w:div w:id="30200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1335786">
      <w:bodyDiv w:val="1"/>
      <w:marLeft w:val="0"/>
      <w:marRight w:val="0"/>
      <w:marTop w:val="0"/>
      <w:marBottom w:val="0"/>
      <w:divBdr>
        <w:top w:val="none" w:sz="0" w:space="0" w:color="auto"/>
        <w:left w:val="none" w:sz="0" w:space="0" w:color="auto"/>
        <w:bottom w:val="none" w:sz="0" w:space="0" w:color="auto"/>
        <w:right w:val="none" w:sz="0" w:space="0" w:color="auto"/>
      </w:divBdr>
    </w:div>
    <w:div w:id="1445684541">
      <w:bodyDiv w:val="1"/>
      <w:marLeft w:val="0"/>
      <w:marRight w:val="0"/>
      <w:marTop w:val="0"/>
      <w:marBottom w:val="0"/>
      <w:divBdr>
        <w:top w:val="none" w:sz="0" w:space="0" w:color="auto"/>
        <w:left w:val="none" w:sz="0" w:space="0" w:color="auto"/>
        <w:bottom w:val="none" w:sz="0" w:space="0" w:color="auto"/>
        <w:right w:val="none" w:sz="0" w:space="0" w:color="auto"/>
      </w:divBdr>
    </w:div>
    <w:div w:id="1446391077">
      <w:bodyDiv w:val="1"/>
      <w:marLeft w:val="0"/>
      <w:marRight w:val="0"/>
      <w:marTop w:val="0"/>
      <w:marBottom w:val="0"/>
      <w:divBdr>
        <w:top w:val="none" w:sz="0" w:space="0" w:color="auto"/>
        <w:left w:val="none" w:sz="0" w:space="0" w:color="auto"/>
        <w:bottom w:val="none" w:sz="0" w:space="0" w:color="auto"/>
        <w:right w:val="none" w:sz="0" w:space="0" w:color="auto"/>
      </w:divBdr>
    </w:div>
    <w:div w:id="1448305577">
      <w:bodyDiv w:val="1"/>
      <w:marLeft w:val="0"/>
      <w:marRight w:val="0"/>
      <w:marTop w:val="0"/>
      <w:marBottom w:val="0"/>
      <w:divBdr>
        <w:top w:val="none" w:sz="0" w:space="0" w:color="auto"/>
        <w:left w:val="none" w:sz="0" w:space="0" w:color="auto"/>
        <w:bottom w:val="none" w:sz="0" w:space="0" w:color="auto"/>
        <w:right w:val="none" w:sz="0" w:space="0" w:color="auto"/>
      </w:divBdr>
    </w:div>
    <w:div w:id="1451240441">
      <w:bodyDiv w:val="1"/>
      <w:marLeft w:val="0"/>
      <w:marRight w:val="0"/>
      <w:marTop w:val="0"/>
      <w:marBottom w:val="0"/>
      <w:divBdr>
        <w:top w:val="none" w:sz="0" w:space="0" w:color="auto"/>
        <w:left w:val="none" w:sz="0" w:space="0" w:color="auto"/>
        <w:bottom w:val="none" w:sz="0" w:space="0" w:color="auto"/>
        <w:right w:val="none" w:sz="0" w:space="0" w:color="auto"/>
      </w:divBdr>
    </w:div>
    <w:div w:id="1456800832">
      <w:bodyDiv w:val="1"/>
      <w:marLeft w:val="0"/>
      <w:marRight w:val="0"/>
      <w:marTop w:val="0"/>
      <w:marBottom w:val="0"/>
      <w:divBdr>
        <w:top w:val="none" w:sz="0" w:space="0" w:color="auto"/>
        <w:left w:val="none" w:sz="0" w:space="0" w:color="auto"/>
        <w:bottom w:val="none" w:sz="0" w:space="0" w:color="auto"/>
        <w:right w:val="none" w:sz="0" w:space="0" w:color="auto"/>
      </w:divBdr>
    </w:div>
    <w:div w:id="1462962287">
      <w:bodyDiv w:val="1"/>
      <w:marLeft w:val="0"/>
      <w:marRight w:val="0"/>
      <w:marTop w:val="0"/>
      <w:marBottom w:val="0"/>
      <w:divBdr>
        <w:top w:val="none" w:sz="0" w:space="0" w:color="auto"/>
        <w:left w:val="none" w:sz="0" w:space="0" w:color="auto"/>
        <w:bottom w:val="none" w:sz="0" w:space="0" w:color="auto"/>
        <w:right w:val="none" w:sz="0" w:space="0" w:color="auto"/>
      </w:divBdr>
    </w:div>
    <w:div w:id="1463382656">
      <w:bodyDiv w:val="1"/>
      <w:marLeft w:val="0"/>
      <w:marRight w:val="0"/>
      <w:marTop w:val="0"/>
      <w:marBottom w:val="0"/>
      <w:divBdr>
        <w:top w:val="none" w:sz="0" w:space="0" w:color="auto"/>
        <w:left w:val="none" w:sz="0" w:space="0" w:color="auto"/>
        <w:bottom w:val="none" w:sz="0" w:space="0" w:color="auto"/>
        <w:right w:val="none" w:sz="0" w:space="0" w:color="auto"/>
      </w:divBdr>
    </w:div>
    <w:div w:id="1479150612">
      <w:bodyDiv w:val="1"/>
      <w:marLeft w:val="0"/>
      <w:marRight w:val="0"/>
      <w:marTop w:val="0"/>
      <w:marBottom w:val="0"/>
      <w:divBdr>
        <w:top w:val="none" w:sz="0" w:space="0" w:color="auto"/>
        <w:left w:val="none" w:sz="0" w:space="0" w:color="auto"/>
        <w:bottom w:val="none" w:sz="0" w:space="0" w:color="auto"/>
        <w:right w:val="none" w:sz="0" w:space="0" w:color="auto"/>
      </w:divBdr>
    </w:div>
    <w:div w:id="1487671613">
      <w:bodyDiv w:val="1"/>
      <w:marLeft w:val="0"/>
      <w:marRight w:val="0"/>
      <w:marTop w:val="0"/>
      <w:marBottom w:val="0"/>
      <w:divBdr>
        <w:top w:val="none" w:sz="0" w:space="0" w:color="auto"/>
        <w:left w:val="none" w:sz="0" w:space="0" w:color="auto"/>
        <w:bottom w:val="none" w:sz="0" w:space="0" w:color="auto"/>
        <w:right w:val="none" w:sz="0" w:space="0" w:color="auto"/>
      </w:divBdr>
    </w:div>
    <w:div w:id="1510294970">
      <w:bodyDiv w:val="1"/>
      <w:marLeft w:val="0"/>
      <w:marRight w:val="0"/>
      <w:marTop w:val="0"/>
      <w:marBottom w:val="0"/>
      <w:divBdr>
        <w:top w:val="none" w:sz="0" w:space="0" w:color="auto"/>
        <w:left w:val="none" w:sz="0" w:space="0" w:color="auto"/>
        <w:bottom w:val="none" w:sz="0" w:space="0" w:color="auto"/>
        <w:right w:val="none" w:sz="0" w:space="0" w:color="auto"/>
      </w:divBdr>
    </w:div>
    <w:div w:id="1512841088">
      <w:bodyDiv w:val="1"/>
      <w:marLeft w:val="0"/>
      <w:marRight w:val="0"/>
      <w:marTop w:val="0"/>
      <w:marBottom w:val="0"/>
      <w:divBdr>
        <w:top w:val="none" w:sz="0" w:space="0" w:color="auto"/>
        <w:left w:val="none" w:sz="0" w:space="0" w:color="auto"/>
        <w:bottom w:val="none" w:sz="0" w:space="0" w:color="auto"/>
        <w:right w:val="none" w:sz="0" w:space="0" w:color="auto"/>
      </w:divBdr>
    </w:div>
    <w:div w:id="1522207497">
      <w:bodyDiv w:val="1"/>
      <w:marLeft w:val="0"/>
      <w:marRight w:val="0"/>
      <w:marTop w:val="0"/>
      <w:marBottom w:val="0"/>
      <w:divBdr>
        <w:top w:val="none" w:sz="0" w:space="0" w:color="auto"/>
        <w:left w:val="none" w:sz="0" w:space="0" w:color="auto"/>
        <w:bottom w:val="none" w:sz="0" w:space="0" w:color="auto"/>
        <w:right w:val="none" w:sz="0" w:space="0" w:color="auto"/>
      </w:divBdr>
    </w:div>
    <w:div w:id="1522938101">
      <w:bodyDiv w:val="1"/>
      <w:marLeft w:val="0"/>
      <w:marRight w:val="0"/>
      <w:marTop w:val="0"/>
      <w:marBottom w:val="0"/>
      <w:divBdr>
        <w:top w:val="none" w:sz="0" w:space="0" w:color="auto"/>
        <w:left w:val="none" w:sz="0" w:space="0" w:color="auto"/>
        <w:bottom w:val="none" w:sz="0" w:space="0" w:color="auto"/>
        <w:right w:val="none" w:sz="0" w:space="0" w:color="auto"/>
      </w:divBdr>
    </w:div>
    <w:div w:id="1523282527">
      <w:bodyDiv w:val="1"/>
      <w:marLeft w:val="0"/>
      <w:marRight w:val="0"/>
      <w:marTop w:val="0"/>
      <w:marBottom w:val="0"/>
      <w:divBdr>
        <w:top w:val="none" w:sz="0" w:space="0" w:color="auto"/>
        <w:left w:val="none" w:sz="0" w:space="0" w:color="auto"/>
        <w:bottom w:val="none" w:sz="0" w:space="0" w:color="auto"/>
        <w:right w:val="none" w:sz="0" w:space="0" w:color="auto"/>
      </w:divBdr>
    </w:div>
    <w:div w:id="1524590553">
      <w:bodyDiv w:val="1"/>
      <w:marLeft w:val="0"/>
      <w:marRight w:val="0"/>
      <w:marTop w:val="0"/>
      <w:marBottom w:val="0"/>
      <w:divBdr>
        <w:top w:val="none" w:sz="0" w:space="0" w:color="auto"/>
        <w:left w:val="none" w:sz="0" w:space="0" w:color="auto"/>
        <w:bottom w:val="none" w:sz="0" w:space="0" w:color="auto"/>
        <w:right w:val="none" w:sz="0" w:space="0" w:color="auto"/>
      </w:divBdr>
    </w:div>
    <w:div w:id="1525630133">
      <w:bodyDiv w:val="1"/>
      <w:marLeft w:val="0"/>
      <w:marRight w:val="0"/>
      <w:marTop w:val="0"/>
      <w:marBottom w:val="0"/>
      <w:divBdr>
        <w:top w:val="none" w:sz="0" w:space="0" w:color="auto"/>
        <w:left w:val="none" w:sz="0" w:space="0" w:color="auto"/>
        <w:bottom w:val="none" w:sz="0" w:space="0" w:color="auto"/>
        <w:right w:val="none" w:sz="0" w:space="0" w:color="auto"/>
      </w:divBdr>
    </w:div>
    <w:div w:id="1527521213">
      <w:bodyDiv w:val="1"/>
      <w:marLeft w:val="0"/>
      <w:marRight w:val="0"/>
      <w:marTop w:val="0"/>
      <w:marBottom w:val="0"/>
      <w:divBdr>
        <w:top w:val="none" w:sz="0" w:space="0" w:color="auto"/>
        <w:left w:val="none" w:sz="0" w:space="0" w:color="auto"/>
        <w:bottom w:val="none" w:sz="0" w:space="0" w:color="auto"/>
        <w:right w:val="none" w:sz="0" w:space="0" w:color="auto"/>
      </w:divBdr>
    </w:div>
    <w:div w:id="1533568666">
      <w:bodyDiv w:val="1"/>
      <w:marLeft w:val="0"/>
      <w:marRight w:val="0"/>
      <w:marTop w:val="0"/>
      <w:marBottom w:val="0"/>
      <w:divBdr>
        <w:top w:val="none" w:sz="0" w:space="0" w:color="auto"/>
        <w:left w:val="none" w:sz="0" w:space="0" w:color="auto"/>
        <w:bottom w:val="none" w:sz="0" w:space="0" w:color="auto"/>
        <w:right w:val="none" w:sz="0" w:space="0" w:color="auto"/>
      </w:divBdr>
    </w:div>
    <w:div w:id="1534877820">
      <w:bodyDiv w:val="1"/>
      <w:marLeft w:val="0"/>
      <w:marRight w:val="0"/>
      <w:marTop w:val="0"/>
      <w:marBottom w:val="0"/>
      <w:divBdr>
        <w:top w:val="none" w:sz="0" w:space="0" w:color="auto"/>
        <w:left w:val="none" w:sz="0" w:space="0" w:color="auto"/>
        <w:bottom w:val="none" w:sz="0" w:space="0" w:color="auto"/>
        <w:right w:val="none" w:sz="0" w:space="0" w:color="auto"/>
      </w:divBdr>
    </w:div>
    <w:div w:id="1537159215">
      <w:bodyDiv w:val="1"/>
      <w:marLeft w:val="0"/>
      <w:marRight w:val="0"/>
      <w:marTop w:val="0"/>
      <w:marBottom w:val="0"/>
      <w:divBdr>
        <w:top w:val="none" w:sz="0" w:space="0" w:color="auto"/>
        <w:left w:val="none" w:sz="0" w:space="0" w:color="auto"/>
        <w:bottom w:val="none" w:sz="0" w:space="0" w:color="auto"/>
        <w:right w:val="none" w:sz="0" w:space="0" w:color="auto"/>
      </w:divBdr>
    </w:div>
    <w:div w:id="1544365101">
      <w:bodyDiv w:val="1"/>
      <w:marLeft w:val="0"/>
      <w:marRight w:val="0"/>
      <w:marTop w:val="0"/>
      <w:marBottom w:val="0"/>
      <w:divBdr>
        <w:top w:val="none" w:sz="0" w:space="0" w:color="auto"/>
        <w:left w:val="none" w:sz="0" w:space="0" w:color="auto"/>
        <w:bottom w:val="none" w:sz="0" w:space="0" w:color="auto"/>
        <w:right w:val="none" w:sz="0" w:space="0" w:color="auto"/>
      </w:divBdr>
    </w:div>
    <w:div w:id="1544436860">
      <w:bodyDiv w:val="1"/>
      <w:marLeft w:val="0"/>
      <w:marRight w:val="0"/>
      <w:marTop w:val="0"/>
      <w:marBottom w:val="0"/>
      <w:divBdr>
        <w:top w:val="none" w:sz="0" w:space="0" w:color="auto"/>
        <w:left w:val="none" w:sz="0" w:space="0" w:color="auto"/>
        <w:bottom w:val="none" w:sz="0" w:space="0" w:color="auto"/>
        <w:right w:val="none" w:sz="0" w:space="0" w:color="auto"/>
      </w:divBdr>
    </w:div>
    <w:div w:id="1544633835">
      <w:bodyDiv w:val="1"/>
      <w:marLeft w:val="0"/>
      <w:marRight w:val="0"/>
      <w:marTop w:val="0"/>
      <w:marBottom w:val="0"/>
      <w:divBdr>
        <w:top w:val="none" w:sz="0" w:space="0" w:color="auto"/>
        <w:left w:val="none" w:sz="0" w:space="0" w:color="auto"/>
        <w:bottom w:val="none" w:sz="0" w:space="0" w:color="auto"/>
        <w:right w:val="none" w:sz="0" w:space="0" w:color="auto"/>
      </w:divBdr>
    </w:div>
    <w:div w:id="1551503280">
      <w:bodyDiv w:val="1"/>
      <w:marLeft w:val="0"/>
      <w:marRight w:val="0"/>
      <w:marTop w:val="0"/>
      <w:marBottom w:val="0"/>
      <w:divBdr>
        <w:top w:val="none" w:sz="0" w:space="0" w:color="auto"/>
        <w:left w:val="none" w:sz="0" w:space="0" w:color="auto"/>
        <w:bottom w:val="none" w:sz="0" w:space="0" w:color="auto"/>
        <w:right w:val="none" w:sz="0" w:space="0" w:color="auto"/>
      </w:divBdr>
    </w:div>
    <w:div w:id="1553301362">
      <w:bodyDiv w:val="1"/>
      <w:marLeft w:val="0"/>
      <w:marRight w:val="0"/>
      <w:marTop w:val="0"/>
      <w:marBottom w:val="0"/>
      <w:divBdr>
        <w:top w:val="none" w:sz="0" w:space="0" w:color="auto"/>
        <w:left w:val="none" w:sz="0" w:space="0" w:color="auto"/>
        <w:bottom w:val="none" w:sz="0" w:space="0" w:color="auto"/>
        <w:right w:val="none" w:sz="0" w:space="0" w:color="auto"/>
      </w:divBdr>
    </w:div>
    <w:div w:id="1554850444">
      <w:bodyDiv w:val="1"/>
      <w:marLeft w:val="0"/>
      <w:marRight w:val="0"/>
      <w:marTop w:val="0"/>
      <w:marBottom w:val="0"/>
      <w:divBdr>
        <w:top w:val="none" w:sz="0" w:space="0" w:color="auto"/>
        <w:left w:val="none" w:sz="0" w:space="0" w:color="auto"/>
        <w:bottom w:val="none" w:sz="0" w:space="0" w:color="auto"/>
        <w:right w:val="none" w:sz="0" w:space="0" w:color="auto"/>
      </w:divBdr>
    </w:div>
    <w:div w:id="1557085137">
      <w:bodyDiv w:val="1"/>
      <w:marLeft w:val="0"/>
      <w:marRight w:val="0"/>
      <w:marTop w:val="0"/>
      <w:marBottom w:val="0"/>
      <w:divBdr>
        <w:top w:val="none" w:sz="0" w:space="0" w:color="auto"/>
        <w:left w:val="none" w:sz="0" w:space="0" w:color="auto"/>
        <w:bottom w:val="none" w:sz="0" w:space="0" w:color="auto"/>
        <w:right w:val="none" w:sz="0" w:space="0" w:color="auto"/>
      </w:divBdr>
    </w:div>
    <w:div w:id="1561985508">
      <w:bodyDiv w:val="1"/>
      <w:marLeft w:val="0"/>
      <w:marRight w:val="0"/>
      <w:marTop w:val="0"/>
      <w:marBottom w:val="0"/>
      <w:divBdr>
        <w:top w:val="none" w:sz="0" w:space="0" w:color="auto"/>
        <w:left w:val="none" w:sz="0" w:space="0" w:color="auto"/>
        <w:bottom w:val="none" w:sz="0" w:space="0" w:color="auto"/>
        <w:right w:val="none" w:sz="0" w:space="0" w:color="auto"/>
      </w:divBdr>
    </w:div>
    <w:div w:id="1567303403">
      <w:bodyDiv w:val="1"/>
      <w:marLeft w:val="0"/>
      <w:marRight w:val="0"/>
      <w:marTop w:val="0"/>
      <w:marBottom w:val="0"/>
      <w:divBdr>
        <w:top w:val="none" w:sz="0" w:space="0" w:color="auto"/>
        <w:left w:val="none" w:sz="0" w:space="0" w:color="auto"/>
        <w:bottom w:val="none" w:sz="0" w:space="0" w:color="auto"/>
        <w:right w:val="none" w:sz="0" w:space="0" w:color="auto"/>
      </w:divBdr>
    </w:div>
    <w:div w:id="1578125891">
      <w:bodyDiv w:val="1"/>
      <w:marLeft w:val="0"/>
      <w:marRight w:val="0"/>
      <w:marTop w:val="0"/>
      <w:marBottom w:val="0"/>
      <w:divBdr>
        <w:top w:val="none" w:sz="0" w:space="0" w:color="auto"/>
        <w:left w:val="none" w:sz="0" w:space="0" w:color="auto"/>
        <w:bottom w:val="none" w:sz="0" w:space="0" w:color="auto"/>
        <w:right w:val="none" w:sz="0" w:space="0" w:color="auto"/>
      </w:divBdr>
    </w:div>
    <w:div w:id="1578400502">
      <w:bodyDiv w:val="1"/>
      <w:marLeft w:val="0"/>
      <w:marRight w:val="0"/>
      <w:marTop w:val="0"/>
      <w:marBottom w:val="0"/>
      <w:divBdr>
        <w:top w:val="none" w:sz="0" w:space="0" w:color="auto"/>
        <w:left w:val="none" w:sz="0" w:space="0" w:color="auto"/>
        <w:bottom w:val="none" w:sz="0" w:space="0" w:color="auto"/>
        <w:right w:val="none" w:sz="0" w:space="0" w:color="auto"/>
      </w:divBdr>
    </w:div>
    <w:div w:id="1579905236">
      <w:bodyDiv w:val="1"/>
      <w:marLeft w:val="0"/>
      <w:marRight w:val="0"/>
      <w:marTop w:val="0"/>
      <w:marBottom w:val="0"/>
      <w:divBdr>
        <w:top w:val="none" w:sz="0" w:space="0" w:color="auto"/>
        <w:left w:val="none" w:sz="0" w:space="0" w:color="auto"/>
        <w:bottom w:val="none" w:sz="0" w:space="0" w:color="auto"/>
        <w:right w:val="none" w:sz="0" w:space="0" w:color="auto"/>
      </w:divBdr>
    </w:div>
    <w:div w:id="1582250620">
      <w:bodyDiv w:val="1"/>
      <w:marLeft w:val="0"/>
      <w:marRight w:val="0"/>
      <w:marTop w:val="0"/>
      <w:marBottom w:val="0"/>
      <w:divBdr>
        <w:top w:val="none" w:sz="0" w:space="0" w:color="auto"/>
        <w:left w:val="none" w:sz="0" w:space="0" w:color="auto"/>
        <w:bottom w:val="none" w:sz="0" w:space="0" w:color="auto"/>
        <w:right w:val="none" w:sz="0" w:space="0" w:color="auto"/>
      </w:divBdr>
    </w:div>
    <w:div w:id="1587109731">
      <w:bodyDiv w:val="1"/>
      <w:marLeft w:val="0"/>
      <w:marRight w:val="0"/>
      <w:marTop w:val="0"/>
      <w:marBottom w:val="0"/>
      <w:divBdr>
        <w:top w:val="none" w:sz="0" w:space="0" w:color="auto"/>
        <w:left w:val="none" w:sz="0" w:space="0" w:color="auto"/>
        <w:bottom w:val="none" w:sz="0" w:space="0" w:color="auto"/>
        <w:right w:val="none" w:sz="0" w:space="0" w:color="auto"/>
      </w:divBdr>
    </w:div>
    <w:div w:id="1589925687">
      <w:bodyDiv w:val="1"/>
      <w:marLeft w:val="0"/>
      <w:marRight w:val="0"/>
      <w:marTop w:val="0"/>
      <w:marBottom w:val="0"/>
      <w:divBdr>
        <w:top w:val="none" w:sz="0" w:space="0" w:color="auto"/>
        <w:left w:val="none" w:sz="0" w:space="0" w:color="auto"/>
        <w:bottom w:val="none" w:sz="0" w:space="0" w:color="auto"/>
        <w:right w:val="none" w:sz="0" w:space="0" w:color="auto"/>
      </w:divBdr>
    </w:div>
    <w:div w:id="1595674584">
      <w:bodyDiv w:val="1"/>
      <w:marLeft w:val="0"/>
      <w:marRight w:val="0"/>
      <w:marTop w:val="0"/>
      <w:marBottom w:val="0"/>
      <w:divBdr>
        <w:top w:val="none" w:sz="0" w:space="0" w:color="auto"/>
        <w:left w:val="none" w:sz="0" w:space="0" w:color="auto"/>
        <w:bottom w:val="none" w:sz="0" w:space="0" w:color="auto"/>
        <w:right w:val="none" w:sz="0" w:space="0" w:color="auto"/>
      </w:divBdr>
    </w:div>
    <w:div w:id="1597059911">
      <w:bodyDiv w:val="1"/>
      <w:marLeft w:val="0"/>
      <w:marRight w:val="0"/>
      <w:marTop w:val="0"/>
      <w:marBottom w:val="0"/>
      <w:divBdr>
        <w:top w:val="none" w:sz="0" w:space="0" w:color="auto"/>
        <w:left w:val="none" w:sz="0" w:space="0" w:color="auto"/>
        <w:bottom w:val="none" w:sz="0" w:space="0" w:color="auto"/>
        <w:right w:val="none" w:sz="0" w:space="0" w:color="auto"/>
      </w:divBdr>
    </w:div>
    <w:div w:id="1598947382">
      <w:bodyDiv w:val="1"/>
      <w:marLeft w:val="0"/>
      <w:marRight w:val="0"/>
      <w:marTop w:val="0"/>
      <w:marBottom w:val="0"/>
      <w:divBdr>
        <w:top w:val="none" w:sz="0" w:space="0" w:color="auto"/>
        <w:left w:val="none" w:sz="0" w:space="0" w:color="auto"/>
        <w:bottom w:val="none" w:sz="0" w:space="0" w:color="auto"/>
        <w:right w:val="none" w:sz="0" w:space="0" w:color="auto"/>
      </w:divBdr>
    </w:div>
    <w:div w:id="1604220545">
      <w:bodyDiv w:val="1"/>
      <w:marLeft w:val="0"/>
      <w:marRight w:val="0"/>
      <w:marTop w:val="0"/>
      <w:marBottom w:val="0"/>
      <w:divBdr>
        <w:top w:val="none" w:sz="0" w:space="0" w:color="auto"/>
        <w:left w:val="none" w:sz="0" w:space="0" w:color="auto"/>
        <w:bottom w:val="none" w:sz="0" w:space="0" w:color="auto"/>
        <w:right w:val="none" w:sz="0" w:space="0" w:color="auto"/>
      </w:divBdr>
    </w:div>
    <w:div w:id="1607302329">
      <w:bodyDiv w:val="1"/>
      <w:marLeft w:val="0"/>
      <w:marRight w:val="0"/>
      <w:marTop w:val="0"/>
      <w:marBottom w:val="0"/>
      <w:divBdr>
        <w:top w:val="none" w:sz="0" w:space="0" w:color="auto"/>
        <w:left w:val="none" w:sz="0" w:space="0" w:color="auto"/>
        <w:bottom w:val="none" w:sz="0" w:space="0" w:color="auto"/>
        <w:right w:val="none" w:sz="0" w:space="0" w:color="auto"/>
      </w:divBdr>
    </w:div>
    <w:div w:id="1608007056">
      <w:bodyDiv w:val="1"/>
      <w:marLeft w:val="0"/>
      <w:marRight w:val="0"/>
      <w:marTop w:val="0"/>
      <w:marBottom w:val="0"/>
      <w:divBdr>
        <w:top w:val="none" w:sz="0" w:space="0" w:color="auto"/>
        <w:left w:val="none" w:sz="0" w:space="0" w:color="auto"/>
        <w:bottom w:val="none" w:sz="0" w:space="0" w:color="auto"/>
        <w:right w:val="none" w:sz="0" w:space="0" w:color="auto"/>
      </w:divBdr>
    </w:div>
    <w:div w:id="1614626450">
      <w:bodyDiv w:val="1"/>
      <w:marLeft w:val="0"/>
      <w:marRight w:val="0"/>
      <w:marTop w:val="0"/>
      <w:marBottom w:val="0"/>
      <w:divBdr>
        <w:top w:val="none" w:sz="0" w:space="0" w:color="auto"/>
        <w:left w:val="none" w:sz="0" w:space="0" w:color="auto"/>
        <w:bottom w:val="none" w:sz="0" w:space="0" w:color="auto"/>
        <w:right w:val="none" w:sz="0" w:space="0" w:color="auto"/>
      </w:divBdr>
    </w:div>
    <w:div w:id="1642731072">
      <w:bodyDiv w:val="1"/>
      <w:marLeft w:val="0"/>
      <w:marRight w:val="0"/>
      <w:marTop w:val="0"/>
      <w:marBottom w:val="0"/>
      <w:divBdr>
        <w:top w:val="none" w:sz="0" w:space="0" w:color="auto"/>
        <w:left w:val="none" w:sz="0" w:space="0" w:color="auto"/>
        <w:bottom w:val="none" w:sz="0" w:space="0" w:color="auto"/>
        <w:right w:val="none" w:sz="0" w:space="0" w:color="auto"/>
      </w:divBdr>
    </w:div>
    <w:div w:id="1645163897">
      <w:bodyDiv w:val="1"/>
      <w:marLeft w:val="0"/>
      <w:marRight w:val="0"/>
      <w:marTop w:val="0"/>
      <w:marBottom w:val="0"/>
      <w:divBdr>
        <w:top w:val="none" w:sz="0" w:space="0" w:color="auto"/>
        <w:left w:val="none" w:sz="0" w:space="0" w:color="auto"/>
        <w:bottom w:val="none" w:sz="0" w:space="0" w:color="auto"/>
        <w:right w:val="none" w:sz="0" w:space="0" w:color="auto"/>
      </w:divBdr>
    </w:div>
    <w:div w:id="1647009500">
      <w:bodyDiv w:val="1"/>
      <w:marLeft w:val="0"/>
      <w:marRight w:val="0"/>
      <w:marTop w:val="0"/>
      <w:marBottom w:val="0"/>
      <w:divBdr>
        <w:top w:val="none" w:sz="0" w:space="0" w:color="auto"/>
        <w:left w:val="none" w:sz="0" w:space="0" w:color="auto"/>
        <w:bottom w:val="none" w:sz="0" w:space="0" w:color="auto"/>
        <w:right w:val="none" w:sz="0" w:space="0" w:color="auto"/>
      </w:divBdr>
    </w:div>
    <w:div w:id="1647395488">
      <w:bodyDiv w:val="1"/>
      <w:marLeft w:val="0"/>
      <w:marRight w:val="0"/>
      <w:marTop w:val="0"/>
      <w:marBottom w:val="0"/>
      <w:divBdr>
        <w:top w:val="none" w:sz="0" w:space="0" w:color="auto"/>
        <w:left w:val="none" w:sz="0" w:space="0" w:color="auto"/>
        <w:bottom w:val="none" w:sz="0" w:space="0" w:color="auto"/>
        <w:right w:val="none" w:sz="0" w:space="0" w:color="auto"/>
      </w:divBdr>
    </w:div>
    <w:div w:id="1654799045">
      <w:bodyDiv w:val="1"/>
      <w:marLeft w:val="0"/>
      <w:marRight w:val="0"/>
      <w:marTop w:val="0"/>
      <w:marBottom w:val="0"/>
      <w:divBdr>
        <w:top w:val="none" w:sz="0" w:space="0" w:color="auto"/>
        <w:left w:val="none" w:sz="0" w:space="0" w:color="auto"/>
        <w:bottom w:val="none" w:sz="0" w:space="0" w:color="auto"/>
        <w:right w:val="none" w:sz="0" w:space="0" w:color="auto"/>
      </w:divBdr>
    </w:div>
    <w:div w:id="1655066341">
      <w:bodyDiv w:val="1"/>
      <w:marLeft w:val="0"/>
      <w:marRight w:val="0"/>
      <w:marTop w:val="0"/>
      <w:marBottom w:val="0"/>
      <w:divBdr>
        <w:top w:val="none" w:sz="0" w:space="0" w:color="auto"/>
        <w:left w:val="none" w:sz="0" w:space="0" w:color="auto"/>
        <w:bottom w:val="none" w:sz="0" w:space="0" w:color="auto"/>
        <w:right w:val="none" w:sz="0" w:space="0" w:color="auto"/>
      </w:divBdr>
    </w:div>
    <w:div w:id="1655182010">
      <w:bodyDiv w:val="1"/>
      <w:marLeft w:val="0"/>
      <w:marRight w:val="0"/>
      <w:marTop w:val="0"/>
      <w:marBottom w:val="0"/>
      <w:divBdr>
        <w:top w:val="none" w:sz="0" w:space="0" w:color="auto"/>
        <w:left w:val="none" w:sz="0" w:space="0" w:color="auto"/>
        <w:bottom w:val="none" w:sz="0" w:space="0" w:color="auto"/>
        <w:right w:val="none" w:sz="0" w:space="0" w:color="auto"/>
      </w:divBdr>
    </w:div>
    <w:div w:id="1666471562">
      <w:bodyDiv w:val="1"/>
      <w:marLeft w:val="0"/>
      <w:marRight w:val="0"/>
      <w:marTop w:val="0"/>
      <w:marBottom w:val="0"/>
      <w:divBdr>
        <w:top w:val="none" w:sz="0" w:space="0" w:color="auto"/>
        <w:left w:val="none" w:sz="0" w:space="0" w:color="auto"/>
        <w:bottom w:val="none" w:sz="0" w:space="0" w:color="auto"/>
        <w:right w:val="none" w:sz="0" w:space="0" w:color="auto"/>
      </w:divBdr>
    </w:div>
    <w:div w:id="1666857952">
      <w:bodyDiv w:val="1"/>
      <w:marLeft w:val="0"/>
      <w:marRight w:val="0"/>
      <w:marTop w:val="0"/>
      <w:marBottom w:val="0"/>
      <w:divBdr>
        <w:top w:val="none" w:sz="0" w:space="0" w:color="auto"/>
        <w:left w:val="none" w:sz="0" w:space="0" w:color="auto"/>
        <w:bottom w:val="none" w:sz="0" w:space="0" w:color="auto"/>
        <w:right w:val="none" w:sz="0" w:space="0" w:color="auto"/>
      </w:divBdr>
    </w:div>
    <w:div w:id="1672099517">
      <w:bodyDiv w:val="1"/>
      <w:marLeft w:val="0"/>
      <w:marRight w:val="0"/>
      <w:marTop w:val="0"/>
      <w:marBottom w:val="0"/>
      <w:divBdr>
        <w:top w:val="none" w:sz="0" w:space="0" w:color="auto"/>
        <w:left w:val="none" w:sz="0" w:space="0" w:color="auto"/>
        <w:bottom w:val="none" w:sz="0" w:space="0" w:color="auto"/>
        <w:right w:val="none" w:sz="0" w:space="0" w:color="auto"/>
      </w:divBdr>
    </w:div>
    <w:div w:id="1676180701">
      <w:bodyDiv w:val="1"/>
      <w:marLeft w:val="0"/>
      <w:marRight w:val="0"/>
      <w:marTop w:val="0"/>
      <w:marBottom w:val="0"/>
      <w:divBdr>
        <w:top w:val="none" w:sz="0" w:space="0" w:color="auto"/>
        <w:left w:val="none" w:sz="0" w:space="0" w:color="auto"/>
        <w:bottom w:val="none" w:sz="0" w:space="0" w:color="auto"/>
        <w:right w:val="none" w:sz="0" w:space="0" w:color="auto"/>
      </w:divBdr>
    </w:div>
    <w:div w:id="1677616006">
      <w:bodyDiv w:val="1"/>
      <w:marLeft w:val="0"/>
      <w:marRight w:val="0"/>
      <w:marTop w:val="0"/>
      <w:marBottom w:val="0"/>
      <w:divBdr>
        <w:top w:val="none" w:sz="0" w:space="0" w:color="auto"/>
        <w:left w:val="none" w:sz="0" w:space="0" w:color="auto"/>
        <w:bottom w:val="none" w:sz="0" w:space="0" w:color="auto"/>
        <w:right w:val="none" w:sz="0" w:space="0" w:color="auto"/>
      </w:divBdr>
    </w:div>
    <w:div w:id="1682315770">
      <w:bodyDiv w:val="1"/>
      <w:marLeft w:val="0"/>
      <w:marRight w:val="0"/>
      <w:marTop w:val="0"/>
      <w:marBottom w:val="0"/>
      <w:divBdr>
        <w:top w:val="none" w:sz="0" w:space="0" w:color="auto"/>
        <w:left w:val="none" w:sz="0" w:space="0" w:color="auto"/>
        <w:bottom w:val="none" w:sz="0" w:space="0" w:color="auto"/>
        <w:right w:val="none" w:sz="0" w:space="0" w:color="auto"/>
      </w:divBdr>
    </w:div>
    <w:div w:id="1682585174">
      <w:bodyDiv w:val="1"/>
      <w:marLeft w:val="0"/>
      <w:marRight w:val="0"/>
      <w:marTop w:val="0"/>
      <w:marBottom w:val="0"/>
      <w:divBdr>
        <w:top w:val="none" w:sz="0" w:space="0" w:color="auto"/>
        <w:left w:val="none" w:sz="0" w:space="0" w:color="auto"/>
        <w:bottom w:val="none" w:sz="0" w:space="0" w:color="auto"/>
        <w:right w:val="none" w:sz="0" w:space="0" w:color="auto"/>
      </w:divBdr>
    </w:div>
    <w:div w:id="1685283892">
      <w:bodyDiv w:val="1"/>
      <w:marLeft w:val="0"/>
      <w:marRight w:val="0"/>
      <w:marTop w:val="0"/>
      <w:marBottom w:val="0"/>
      <w:divBdr>
        <w:top w:val="none" w:sz="0" w:space="0" w:color="auto"/>
        <w:left w:val="none" w:sz="0" w:space="0" w:color="auto"/>
        <w:bottom w:val="none" w:sz="0" w:space="0" w:color="auto"/>
        <w:right w:val="none" w:sz="0" w:space="0" w:color="auto"/>
      </w:divBdr>
    </w:div>
    <w:div w:id="1685399315">
      <w:bodyDiv w:val="1"/>
      <w:marLeft w:val="0"/>
      <w:marRight w:val="0"/>
      <w:marTop w:val="0"/>
      <w:marBottom w:val="0"/>
      <w:divBdr>
        <w:top w:val="none" w:sz="0" w:space="0" w:color="auto"/>
        <w:left w:val="none" w:sz="0" w:space="0" w:color="auto"/>
        <w:bottom w:val="none" w:sz="0" w:space="0" w:color="auto"/>
        <w:right w:val="none" w:sz="0" w:space="0" w:color="auto"/>
      </w:divBdr>
    </w:div>
    <w:div w:id="1685404081">
      <w:bodyDiv w:val="1"/>
      <w:marLeft w:val="0"/>
      <w:marRight w:val="0"/>
      <w:marTop w:val="0"/>
      <w:marBottom w:val="0"/>
      <w:divBdr>
        <w:top w:val="none" w:sz="0" w:space="0" w:color="auto"/>
        <w:left w:val="none" w:sz="0" w:space="0" w:color="auto"/>
        <w:bottom w:val="none" w:sz="0" w:space="0" w:color="auto"/>
        <w:right w:val="none" w:sz="0" w:space="0" w:color="auto"/>
      </w:divBdr>
    </w:div>
    <w:div w:id="1692760536">
      <w:bodyDiv w:val="1"/>
      <w:marLeft w:val="0"/>
      <w:marRight w:val="0"/>
      <w:marTop w:val="0"/>
      <w:marBottom w:val="0"/>
      <w:divBdr>
        <w:top w:val="none" w:sz="0" w:space="0" w:color="auto"/>
        <w:left w:val="none" w:sz="0" w:space="0" w:color="auto"/>
        <w:bottom w:val="none" w:sz="0" w:space="0" w:color="auto"/>
        <w:right w:val="none" w:sz="0" w:space="0" w:color="auto"/>
      </w:divBdr>
    </w:div>
    <w:div w:id="1693996663">
      <w:bodyDiv w:val="1"/>
      <w:marLeft w:val="0"/>
      <w:marRight w:val="0"/>
      <w:marTop w:val="0"/>
      <w:marBottom w:val="0"/>
      <w:divBdr>
        <w:top w:val="none" w:sz="0" w:space="0" w:color="auto"/>
        <w:left w:val="none" w:sz="0" w:space="0" w:color="auto"/>
        <w:bottom w:val="none" w:sz="0" w:space="0" w:color="auto"/>
        <w:right w:val="none" w:sz="0" w:space="0" w:color="auto"/>
      </w:divBdr>
    </w:div>
    <w:div w:id="1698576319">
      <w:bodyDiv w:val="1"/>
      <w:marLeft w:val="0"/>
      <w:marRight w:val="0"/>
      <w:marTop w:val="0"/>
      <w:marBottom w:val="0"/>
      <w:divBdr>
        <w:top w:val="none" w:sz="0" w:space="0" w:color="auto"/>
        <w:left w:val="none" w:sz="0" w:space="0" w:color="auto"/>
        <w:bottom w:val="none" w:sz="0" w:space="0" w:color="auto"/>
        <w:right w:val="none" w:sz="0" w:space="0" w:color="auto"/>
      </w:divBdr>
    </w:div>
    <w:div w:id="1704135501">
      <w:bodyDiv w:val="1"/>
      <w:marLeft w:val="0"/>
      <w:marRight w:val="0"/>
      <w:marTop w:val="0"/>
      <w:marBottom w:val="0"/>
      <w:divBdr>
        <w:top w:val="none" w:sz="0" w:space="0" w:color="auto"/>
        <w:left w:val="none" w:sz="0" w:space="0" w:color="auto"/>
        <w:bottom w:val="none" w:sz="0" w:space="0" w:color="auto"/>
        <w:right w:val="none" w:sz="0" w:space="0" w:color="auto"/>
      </w:divBdr>
    </w:div>
    <w:div w:id="1704942144">
      <w:bodyDiv w:val="1"/>
      <w:marLeft w:val="0"/>
      <w:marRight w:val="0"/>
      <w:marTop w:val="0"/>
      <w:marBottom w:val="0"/>
      <w:divBdr>
        <w:top w:val="none" w:sz="0" w:space="0" w:color="auto"/>
        <w:left w:val="none" w:sz="0" w:space="0" w:color="auto"/>
        <w:bottom w:val="none" w:sz="0" w:space="0" w:color="auto"/>
        <w:right w:val="none" w:sz="0" w:space="0" w:color="auto"/>
      </w:divBdr>
    </w:div>
    <w:div w:id="1705640019">
      <w:bodyDiv w:val="1"/>
      <w:marLeft w:val="0"/>
      <w:marRight w:val="0"/>
      <w:marTop w:val="0"/>
      <w:marBottom w:val="0"/>
      <w:divBdr>
        <w:top w:val="none" w:sz="0" w:space="0" w:color="auto"/>
        <w:left w:val="none" w:sz="0" w:space="0" w:color="auto"/>
        <w:bottom w:val="none" w:sz="0" w:space="0" w:color="auto"/>
        <w:right w:val="none" w:sz="0" w:space="0" w:color="auto"/>
      </w:divBdr>
    </w:div>
    <w:div w:id="1705867135">
      <w:bodyDiv w:val="1"/>
      <w:marLeft w:val="0"/>
      <w:marRight w:val="0"/>
      <w:marTop w:val="0"/>
      <w:marBottom w:val="0"/>
      <w:divBdr>
        <w:top w:val="none" w:sz="0" w:space="0" w:color="auto"/>
        <w:left w:val="none" w:sz="0" w:space="0" w:color="auto"/>
        <w:bottom w:val="none" w:sz="0" w:space="0" w:color="auto"/>
        <w:right w:val="none" w:sz="0" w:space="0" w:color="auto"/>
      </w:divBdr>
    </w:div>
    <w:div w:id="1709142249">
      <w:bodyDiv w:val="1"/>
      <w:marLeft w:val="0"/>
      <w:marRight w:val="0"/>
      <w:marTop w:val="0"/>
      <w:marBottom w:val="0"/>
      <w:divBdr>
        <w:top w:val="none" w:sz="0" w:space="0" w:color="auto"/>
        <w:left w:val="none" w:sz="0" w:space="0" w:color="auto"/>
        <w:bottom w:val="none" w:sz="0" w:space="0" w:color="auto"/>
        <w:right w:val="none" w:sz="0" w:space="0" w:color="auto"/>
      </w:divBdr>
    </w:div>
    <w:div w:id="1713724762">
      <w:bodyDiv w:val="1"/>
      <w:marLeft w:val="0"/>
      <w:marRight w:val="0"/>
      <w:marTop w:val="0"/>
      <w:marBottom w:val="0"/>
      <w:divBdr>
        <w:top w:val="none" w:sz="0" w:space="0" w:color="auto"/>
        <w:left w:val="none" w:sz="0" w:space="0" w:color="auto"/>
        <w:bottom w:val="none" w:sz="0" w:space="0" w:color="auto"/>
        <w:right w:val="none" w:sz="0" w:space="0" w:color="auto"/>
      </w:divBdr>
    </w:div>
    <w:div w:id="1715033258">
      <w:bodyDiv w:val="1"/>
      <w:marLeft w:val="0"/>
      <w:marRight w:val="0"/>
      <w:marTop w:val="0"/>
      <w:marBottom w:val="0"/>
      <w:divBdr>
        <w:top w:val="none" w:sz="0" w:space="0" w:color="auto"/>
        <w:left w:val="none" w:sz="0" w:space="0" w:color="auto"/>
        <w:bottom w:val="none" w:sz="0" w:space="0" w:color="auto"/>
        <w:right w:val="none" w:sz="0" w:space="0" w:color="auto"/>
      </w:divBdr>
    </w:div>
    <w:div w:id="1725328178">
      <w:bodyDiv w:val="1"/>
      <w:marLeft w:val="0"/>
      <w:marRight w:val="0"/>
      <w:marTop w:val="0"/>
      <w:marBottom w:val="0"/>
      <w:divBdr>
        <w:top w:val="none" w:sz="0" w:space="0" w:color="auto"/>
        <w:left w:val="none" w:sz="0" w:space="0" w:color="auto"/>
        <w:bottom w:val="none" w:sz="0" w:space="0" w:color="auto"/>
        <w:right w:val="none" w:sz="0" w:space="0" w:color="auto"/>
      </w:divBdr>
    </w:div>
    <w:div w:id="1725375204">
      <w:bodyDiv w:val="1"/>
      <w:marLeft w:val="0"/>
      <w:marRight w:val="0"/>
      <w:marTop w:val="0"/>
      <w:marBottom w:val="0"/>
      <w:divBdr>
        <w:top w:val="none" w:sz="0" w:space="0" w:color="auto"/>
        <w:left w:val="none" w:sz="0" w:space="0" w:color="auto"/>
        <w:bottom w:val="none" w:sz="0" w:space="0" w:color="auto"/>
        <w:right w:val="none" w:sz="0" w:space="0" w:color="auto"/>
      </w:divBdr>
    </w:div>
    <w:div w:id="1728722382">
      <w:bodyDiv w:val="1"/>
      <w:marLeft w:val="0"/>
      <w:marRight w:val="0"/>
      <w:marTop w:val="0"/>
      <w:marBottom w:val="0"/>
      <w:divBdr>
        <w:top w:val="none" w:sz="0" w:space="0" w:color="auto"/>
        <w:left w:val="none" w:sz="0" w:space="0" w:color="auto"/>
        <w:bottom w:val="none" w:sz="0" w:space="0" w:color="auto"/>
        <w:right w:val="none" w:sz="0" w:space="0" w:color="auto"/>
      </w:divBdr>
    </w:div>
    <w:div w:id="1739470958">
      <w:bodyDiv w:val="1"/>
      <w:marLeft w:val="0"/>
      <w:marRight w:val="0"/>
      <w:marTop w:val="0"/>
      <w:marBottom w:val="0"/>
      <w:divBdr>
        <w:top w:val="none" w:sz="0" w:space="0" w:color="auto"/>
        <w:left w:val="none" w:sz="0" w:space="0" w:color="auto"/>
        <w:bottom w:val="none" w:sz="0" w:space="0" w:color="auto"/>
        <w:right w:val="none" w:sz="0" w:space="0" w:color="auto"/>
      </w:divBdr>
    </w:div>
    <w:div w:id="1744908457">
      <w:bodyDiv w:val="1"/>
      <w:marLeft w:val="0"/>
      <w:marRight w:val="0"/>
      <w:marTop w:val="0"/>
      <w:marBottom w:val="0"/>
      <w:divBdr>
        <w:top w:val="none" w:sz="0" w:space="0" w:color="auto"/>
        <w:left w:val="none" w:sz="0" w:space="0" w:color="auto"/>
        <w:bottom w:val="none" w:sz="0" w:space="0" w:color="auto"/>
        <w:right w:val="none" w:sz="0" w:space="0" w:color="auto"/>
      </w:divBdr>
    </w:div>
    <w:div w:id="1747071116">
      <w:bodyDiv w:val="1"/>
      <w:marLeft w:val="0"/>
      <w:marRight w:val="0"/>
      <w:marTop w:val="0"/>
      <w:marBottom w:val="0"/>
      <w:divBdr>
        <w:top w:val="none" w:sz="0" w:space="0" w:color="auto"/>
        <w:left w:val="none" w:sz="0" w:space="0" w:color="auto"/>
        <w:bottom w:val="none" w:sz="0" w:space="0" w:color="auto"/>
        <w:right w:val="none" w:sz="0" w:space="0" w:color="auto"/>
      </w:divBdr>
    </w:div>
    <w:div w:id="1749116478">
      <w:bodyDiv w:val="1"/>
      <w:marLeft w:val="0"/>
      <w:marRight w:val="0"/>
      <w:marTop w:val="0"/>
      <w:marBottom w:val="0"/>
      <w:divBdr>
        <w:top w:val="none" w:sz="0" w:space="0" w:color="auto"/>
        <w:left w:val="none" w:sz="0" w:space="0" w:color="auto"/>
        <w:bottom w:val="none" w:sz="0" w:space="0" w:color="auto"/>
        <w:right w:val="none" w:sz="0" w:space="0" w:color="auto"/>
      </w:divBdr>
    </w:div>
    <w:div w:id="1756437750">
      <w:bodyDiv w:val="1"/>
      <w:marLeft w:val="0"/>
      <w:marRight w:val="0"/>
      <w:marTop w:val="0"/>
      <w:marBottom w:val="0"/>
      <w:divBdr>
        <w:top w:val="none" w:sz="0" w:space="0" w:color="auto"/>
        <w:left w:val="none" w:sz="0" w:space="0" w:color="auto"/>
        <w:bottom w:val="none" w:sz="0" w:space="0" w:color="auto"/>
        <w:right w:val="none" w:sz="0" w:space="0" w:color="auto"/>
      </w:divBdr>
    </w:div>
    <w:div w:id="1760298087">
      <w:bodyDiv w:val="1"/>
      <w:marLeft w:val="0"/>
      <w:marRight w:val="0"/>
      <w:marTop w:val="0"/>
      <w:marBottom w:val="0"/>
      <w:divBdr>
        <w:top w:val="none" w:sz="0" w:space="0" w:color="auto"/>
        <w:left w:val="none" w:sz="0" w:space="0" w:color="auto"/>
        <w:bottom w:val="none" w:sz="0" w:space="0" w:color="auto"/>
        <w:right w:val="none" w:sz="0" w:space="0" w:color="auto"/>
      </w:divBdr>
    </w:div>
    <w:div w:id="1761876573">
      <w:bodyDiv w:val="1"/>
      <w:marLeft w:val="0"/>
      <w:marRight w:val="0"/>
      <w:marTop w:val="0"/>
      <w:marBottom w:val="0"/>
      <w:divBdr>
        <w:top w:val="none" w:sz="0" w:space="0" w:color="auto"/>
        <w:left w:val="none" w:sz="0" w:space="0" w:color="auto"/>
        <w:bottom w:val="none" w:sz="0" w:space="0" w:color="auto"/>
        <w:right w:val="none" w:sz="0" w:space="0" w:color="auto"/>
      </w:divBdr>
    </w:div>
    <w:div w:id="1762333496">
      <w:bodyDiv w:val="1"/>
      <w:marLeft w:val="0"/>
      <w:marRight w:val="0"/>
      <w:marTop w:val="0"/>
      <w:marBottom w:val="0"/>
      <w:divBdr>
        <w:top w:val="none" w:sz="0" w:space="0" w:color="auto"/>
        <w:left w:val="none" w:sz="0" w:space="0" w:color="auto"/>
        <w:bottom w:val="none" w:sz="0" w:space="0" w:color="auto"/>
        <w:right w:val="none" w:sz="0" w:space="0" w:color="auto"/>
      </w:divBdr>
    </w:div>
    <w:div w:id="1768576872">
      <w:bodyDiv w:val="1"/>
      <w:marLeft w:val="0"/>
      <w:marRight w:val="0"/>
      <w:marTop w:val="0"/>
      <w:marBottom w:val="0"/>
      <w:divBdr>
        <w:top w:val="none" w:sz="0" w:space="0" w:color="auto"/>
        <w:left w:val="none" w:sz="0" w:space="0" w:color="auto"/>
        <w:bottom w:val="none" w:sz="0" w:space="0" w:color="auto"/>
        <w:right w:val="none" w:sz="0" w:space="0" w:color="auto"/>
      </w:divBdr>
    </w:div>
    <w:div w:id="1792893425">
      <w:bodyDiv w:val="1"/>
      <w:marLeft w:val="0"/>
      <w:marRight w:val="0"/>
      <w:marTop w:val="0"/>
      <w:marBottom w:val="0"/>
      <w:divBdr>
        <w:top w:val="none" w:sz="0" w:space="0" w:color="auto"/>
        <w:left w:val="none" w:sz="0" w:space="0" w:color="auto"/>
        <w:bottom w:val="none" w:sz="0" w:space="0" w:color="auto"/>
        <w:right w:val="none" w:sz="0" w:space="0" w:color="auto"/>
      </w:divBdr>
    </w:div>
    <w:div w:id="1793136984">
      <w:bodyDiv w:val="1"/>
      <w:marLeft w:val="0"/>
      <w:marRight w:val="0"/>
      <w:marTop w:val="0"/>
      <w:marBottom w:val="0"/>
      <w:divBdr>
        <w:top w:val="none" w:sz="0" w:space="0" w:color="auto"/>
        <w:left w:val="none" w:sz="0" w:space="0" w:color="auto"/>
        <w:bottom w:val="none" w:sz="0" w:space="0" w:color="auto"/>
        <w:right w:val="none" w:sz="0" w:space="0" w:color="auto"/>
      </w:divBdr>
    </w:div>
    <w:div w:id="1794058903">
      <w:bodyDiv w:val="1"/>
      <w:marLeft w:val="0"/>
      <w:marRight w:val="0"/>
      <w:marTop w:val="0"/>
      <w:marBottom w:val="0"/>
      <w:divBdr>
        <w:top w:val="none" w:sz="0" w:space="0" w:color="auto"/>
        <w:left w:val="none" w:sz="0" w:space="0" w:color="auto"/>
        <w:bottom w:val="none" w:sz="0" w:space="0" w:color="auto"/>
        <w:right w:val="none" w:sz="0" w:space="0" w:color="auto"/>
      </w:divBdr>
    </w:div>
    <w:div w:id="1798790268">
      <w:bodyDiv w:val="1"/>
      <w:marLeft w:val="0"/>
      <w:marRight w:val="0"/>
      <w:marTop w:val="0"/>
      <w:marBottom w:val="0"/>
      <w:divBdr>
        <w:top w:val="none" w:sz="0" w:space="0" w:color="auto"/>
        <w:left w:val="none" w:sz="0" w:space="0" w:color="auto"/>
        <w:bottom w:val="none" w:sz="0" w:space="0" w:color="auto"/>
        <w:right w:val="none" w:sz="0" w:space="0" w:color="auto"/>
      </w:divBdr>
    </w:div>
    <w:div w:id="1798914059">
      <w:bodyDiv w:val="1"/>
      <w:marLeft w:val="0"/>
      <w:marRight w:val="0"/>
      <w:marTop w:val="0"/>
      <w:marBottom w:val="0"/>
      <w:divBdr>
        <w:top w:val="none" w:sz="0" w:space="0" w:color="auto"/>
        <w:left w:val="none" w:sz="0" w:space="0" w:color="auto"/>
        <w:bottom w:val="none" w:sz="0" w:space="0" w:color="auto"/>
        <w:right w:val="none" w:sz="0" w:space="0" w:color="auto"/>
      </w:divBdr>
    </w:div>
    <w:div w:id="1812595328">
      <w:bodyDiv w:val="1"/>
      <w:marLeft w:val="0"/>
      <w:marRight w:val="0"/>
      <w:marTop w:val="0"/>
      <w:marBottom w:val="0"/>
      <w:divBdr>
        <w:top w:val="none" w:sz="0" w:space="0" w:color="auto"/>
        <w:left w:val="none" w:sz="0" w:space="0" w:color="auto"/>
        <w:bottom w:val="none" w:sz="0" w:space="0" w:color="auto"/>
        <w:right w:val="none" w:sz="0" w:space="0" w:color="auto"/>
      </w:divBdr>
    </w:div>
    <w:div w:id="1820883241">
      <w:bodyDiv w:val="1"/>
      <w:marLeft w:val="0"/>
      <w:marRight w:val="0"/>
      <w:marTop w:val="0"/>
      <w:marBottom w:val="0"/>
      <w:divBdr>
        <w:top w:val="none" w:sz="0" w:space="0" w:color="auto"/>
        <w:left w:val="none" w:sz="0" w:space="0" w:color="auto"/>
        <w:bottom w:val="none" w:sz="0" w:space="0" w:color="auto"/>
        <w:right w:val="none" w:sz="0" w:space="0" w:color="auto"/>
      </w:divBdr>
    </w:div>
    <w:div w:id="1821117702">
      <w:bodyDiv w:val="1"/>
      <w:marLeft w:val="0"/>
      <w:marRight w:val="0"/>
      <w:marTop w:val="0"/>
      <w:marBottom w:val="0"/>
      <w:divBdr>
        <w:top w:val="none" w:sz="0" w:space="0" w:color="auto"/>
        <w:left w:val="none" w:sz="0" w:space="0" w:color="auto"/>
        <w:bottom w:val="none" w:sz="0" w:space="0" w:color="auto"/>
        <w:right w:val="none" w:sz="0" w:space="0" w:color="auto"/>
      </w:divBdr>
    </w:div>
    <w:div w:id="1829663221">
      <w:bodyDiv w:val="1"/>
      <w:marLeft w:val="0"/>
      <w:marRight w:val="0"/>
      <w:marTop w:val="0"/>
      <w:marBottom w:val="0"/>
      <w:divBdr>
        <w:top w:val="none" w:sz="0" w:space="0" w:color="auto"/>
        <w:left w:val="none" w:sz="0" w:space="0" w:color="auto"/>
        <w:bottom w:val="none" w:sz="0" w:space="0" w:color="auto"/>
        <w:right w:val="none" w:sz="0" w:space="0" w:color="auto"/>
      </w:divBdr>
    </w:div>
    <w:div w:id="1830246554">
      <w:bodyDiv w:val="1"/>
      <w:marLeft w:val="0"/>
      <w:marRight w:val="0"/>
      <w:marTop w:val="0"/>
      <w:marBottom w:val="0"/>
      <w:divBdr>
        <w:top w:val="none" w:sz="0" w:space="0" w:color="auto"/>
        <w:left w:val="none" w:sz="0" w:space="0" w:color="auto"/>
        <w:bottom w:val="none" w:sz="0" w:space="0" w:color="auto"/>
        <w:right w:val="none" w:sz="0" w:space="0" w:color="auto"/>
      </w:divBdr>
    </w:div>
    <w:div w:id="1837304758">
      <w:bodyDiv w:val="1"/>
      <w:marLeft w:val="0"/>
      <w:marRight w:val="0"/>
      <w:marTop w:val="0"/>
      <w:marBottom w:val="0"/>
      <w:divBdr>
        <w:top w:val="none" w:sz="0" w:space="0" w:color="auto"/>
        <w:left w:val="none" w:sz="0" w:space="0" w:color="auto"/>
        <w:bottom w:val="none" w:sz="0" w:space="0" w:color="auto"/>
        <w:right w:val="none" w:sz="0" w:space="0" w:color="auto"/>
      </w:divBdr>
    </w:div>
    <w:div w:id="1843547076">
      <w:bodyDiv w:val="1"/>
      <w:marLeft w:val="0"/>
      <w:marRight w:val="0"/>
      <w:marTop w:val="0"/>
      <w:marBottom w:val="0"/>
      <w:divBdr>
        <w:top w:val="none" w:sz="0" w:space="0" w:color="auto"/>
        <w:left w:val="none" w:sz="0" w:space="0" w:color="auto"/>
        <w:bottom w:val="none" w:sz="0" w:space="0" w:color="auto"/>
        <w:right w:val="none" w:sz="0" w:space="0" w:color="auto"/>
      </w:divBdr>
    </w:div>
    <w:div w:id="1847984333">
      <w:bodyDiv w:val="1"/>
      <w:marLeft w:val="0"/>
      <w:marRight w:val="0"/>
      <w:marTop w:val="0"/>
      <w:marBottom w:val="0"/>
      <w:divBdr>
        <w:top w:val="none" w:sz="0" w:space="0" w:color="auto"/>
        <w:left w:val="none" w:sz="0" w:space="0" w:color="auto"/>
        <w:bottom w:val="none" w:sz="0" w:space="0" w:color="auto"/>
        <w:right w:val="none" w:sz="0" w:space="0" w:color="auto"/>
      </w:divBdr>
    </w:div>
    <w:div w:id="1852258215">
      <w:bodyDiv w:val="1"/>
      <w:marLeft w:val="0"/>
      <w:marRight w:val="0"/>
      <w:marTop w:val="0"/>
      <w:marBottom w:val="0"/>
      <w:divBdr>
        <w:top w:val="none" w:sz="0" w:space="0" w:color="auto"/>
        <w:left w:val="none" w:sz="0" w:space="0" w:color="auto"/>
        <w:bottom w:val="none" w:sz="0" w:space="0" w:color="auto"/>
        <w:right w:val="none" w:sz="0" w:space="0" w:color="auto"/>
      </w:divBdr>
    </w:div>
    <w:div w:id="1862084747">
      <w:bodyDiv w:val="1"/>
      <w:marLeft w:val="0"/>
      <w:marRight w:val="0"/>
      <w:marTop w:val="0"/>
      <w:marBottom w:val="0"/>
      <w:divBdr>
        <w:top w:val="none" w:sz="0" w:space="0" w:color="auto"/>
        <w:left w:val="none" w:sz="0" w:space="0" w:color="auto"/>
        <w:bottom w:val="none" w:sz="0" w:space="0" w:color="auto"/>
        <w:right w:val="none" w:sz="0" w:space="0" w:color="auto"/>
      </w:divBdr>
    </w:div>
    <w:div w:id="1866669617">
      <w:bodyDiv w:val="1"/>
      <w:marLeft w:val="0"/>
      <w:marRight w:val="0"/>
      <w:marTop w:val="0"/>
      <w:marBottom w:val="0"/>
      <w:divBdr>
        <w:top w:val="none" w:sz="0" w:space="0" w:color="auto"/>
        <w:left w:val="none" w:sz="0" w:space="0" w:color="auto"/>
        <w:bottom w:val="none" w:sz="0" w:space="0" w:color="auto"/>
        <w:right w:val="none" w:sz="0" w:space="0" w:color="auto"/>
      </w:divBdr>
    </w:div>
    <w:div w:id="1870870655">
      <w:bodyDiv w:val="1"/>
      <w:marLeft w:val="0"/>
      <w:marRight w:val="0"/>
      <w:marTop w:val="0"/>
      <w:marBottom w:val="0"/>
      <w:divBdr>
        <w:top w:val="none" w:sz="0" w:space="0" w:color="auto"/>
        <w:left w:val="none" w:sz="0" w:space="0" w:color="auto"/>
        <w:bottom w:val="none" w:sz="0" w:space="0" w:color="auto"/>
        <w:right w:val="none" w:sz="0" w:space="0" w:color="auto"/>
      </w:divBdr>
    </w:div>
    <w:div w:id="1872187821">
      <w:bodyDiv w:val="1"/>
      <w:marLeft w:val="0"/>
      <w:marRight w:val="0"/>
      <w:marTop w:val="0"/>
      <w:marBottom w:val="0"/>
      <w:divBdr>
        <w:top w:val="none" w:sz="0" w:space="0" w:color="auto"/>
        <w:left w:val="none" w:sz="0" w:space="0" w:color="auto"/>
        <w:bottom w:val="none" w:sz="0" w:space="0" w:color="auto"/>
        <w:right w:val="none" w:sz="0" w:space="0" w:color="auto"/>
      </w:divBdr>
    </w:div>
    <w:div w:id="1881628097">
      <w:bodyDiv w:val="1"/>
      <w:marLeft w:val="0"/>
      <w:marRight w:val="0"/>
      <w:marTop w:val="0"/>
      <w:marBottom w:val="0"/>
      <w:divBdr>
        <w:top w:val="none" w:sz="0" w:space="0" w:color="auto"/>
        <w:left w:val="none" w:sz="0" w:space="0" w:color="auto"/>
        <w:bottom w:val="none" w:sz="0" w:space="0" w:color="auto"/>
        <w:right w:val="none" w:sz="0" w:space="0" w:color="auto"/>
      </w:divBdr>
    </w:div>
    <w:div w:id="1894340586">
      <w:bodyDiv w:val="1"/>
      <w:marLeft w:val="0"/>
      <w:marRight w:val="0"/>
      <w:marTop w:val="0"/>
      <w:marBottom w:val="0"/>
      <w:divBdr>
        <w:top w:val="none" w:sz="0" w:space="0" w:color="auto"/>
        <w:left w:val="none" w:sz="0" w:space="0" w:color="auto"/>
        <w:bottom w:val="none" w:sz="0" w:space="0" w:color="auto"/>
        <w:right w:val="none" w:sz="0" w:space="0" w:color="auto"/>
      </w:divBdr>
    </w:div>
    <w:div w:id="1894846122">
      <w:bodyDiv w:val="1"/>
      <w:marLeft w:val="0"/>
      <w:marRight w:val="0"/>
      <w:marTop w:val="0"/>
      <w:marBottom w:val="0"/>
      <w:divBdr>
        <w:top w:val="none" w:sz="0" w:space="0" w:color="auto"/>
        <w:left w:val="none" w:sz="0" w:space="0" w:color="auto"/>
        <w:bottom w:val="none" w:sz="0" w:space="0" w:color="auto"/>
        <w:right w:val="none" w:sz="0" w:space="0" w:color="auto"/>
      </w:divBdr>
    </w:div>
    <w:div w:id="1900243422">
      <w:bodyDiv w:val="1"/>
      <w:marLeft w:val="0"/>
      <w:marRight w:val="0"/>
      <w:marTop w:val="0"/>
      <w:marBottom w:val="0"/>
      <w:divBdr>
        <w:top w:val="none" w:sz="0" w:space="0" w:color="auto"/>
        <w:left w:val="none" w:sz="0" w:space="0" w:color="auto"/>
        <w:bottom w:val="none" w:sz="0" w:space="0" w:color="auto"/>
        <w:right w:val="none" w:sz="0" w:space="0" w:color="auto"/>
      </w:divBdr>
    </w:div>
    <w:div w:id="1904751829">
      <w:bodyDiv w:val="1"/>
      <w:marLeft w:val="0"/>
      <w:marRight w:val="0"/>
      <w:marTop w:val="0"/>
      <w:marBottom w:val="0"/>
      <w:divBdr>
        <w:top w:val="none" w:sz="0" w:space="0" w:color="auto"/>
        <w:left w:val="none" w:sz="0" w:space="0" w:color="auto"/>
        <w:bottom w:val="none" w:sz="0" w:space="0" w:color="auto"/>
        <w:right w:val="none" w:sz="0" w:space="0" w:color="auto"/>
      </w:divBdr>
    </w:div>
    <w:div w:id="1906524852">
      <w:bodyDiv w:val="1"/>
      <w:marLeft w:val="0"/>
      <w:marRight w:val="0"/>
      <w:marTop w:val="0"/>
      <w:marBottom w:val="0"/>
      <w:divBdr>
        <w:top w:val="none" w:sz="0" w:space="0" w:color="auto"/>
        <w:left w:val="none" w:sz="0" w:space="0" w:color="auto"/>
        <w:bottom w:val="none" w:sz="0" w:space="0" w:color="auto"/>
        <w:right w:val="none" w:sz="0" w:space="0" w:color="auto"/>
      </w:divBdr>
    </w:div>
    <w:div w:id="1911768659">
      <w:bodyDiv w:val="1"/>
      <w:marLeft w:val="0"/>
      <w:marRight w:val="0"/>
      <w:marTop w:val="0"/>
      <w:marBottom w:val="0"/>
      <w:divBdr>
        <w:top w:val="none" w:sz="0" w:space="0" w:color="auto"/>
        <w:left w:val="none" w:sz="0" w:space="0" w:color="auto"/>
        <w:bottom w:val="none" w:sz="0" w:space="0" w:color="auto"/>
        <w:right w:val="none" w:sz="0" w:space="0" w:color="auto"/>
      </w:divBdr>
    </w:div>
    <w:div w:id="1913008849">
      <w:bodyDiv w:val="1"/>
      <w:marLeft w:val="0"/>
      <w:marRight w:val="0"/>
      <w:marTop w:val="0"/>
      <w:marBottom w:val="0"/>
      <w:divBdr>
        <w:top w:val="none" w:sz="0" w:space="0" w:color="auto"/>
        <w:left w:val="none" w:sz="0" w:space="0" w:color="auto"/>
        <w:bottom w:val="none" w:sz="0" w:space="0" w:color="auto"/>
        <w:right w:val="none" w:sz="0" w:space="0" w:color="auto"/>
      </w:divBdr>
    </w:div>
    <w:div w:id="1914660502">
      <w:bodyDiv w:val="1"/>
      <w:marLeft w:val="0"/>
      <w:marRight w:val="0"/>
      <w:marTop w:val="0"/>
      <w:marBottom w:val="0"/>
      <w:divBdr>
        <w:top w:val="none" w:sz="0" w:space="0" w:color="auto"/>
        <w:left w:val="none" w:sz="0" w:space="0" w:color="auto"/>
        <w:bottom w:val="none" w:sz="0" w:space="0" w:color="auto"/>
        <w:right w:val="none" w:sz="0" w:space="0" w:color="auto"/>
      </w:divBdr>
    </w:div>
    <w:div w:id="1926456756">
      <w:bodyDiv w:val="1"/>
      <w:marLeft w:val="0"/>
      <w:marRight w:val="0"/>
      <w:marTop w:val="0"/>
      <w:marBottom w:val="0"/>
      <w:divBdr>
        <w:top w:val="none" w:sz="0" w:space="0" w:color="auto"/>
        <w:left w:val="none" w:sz="0" w:space="0" w:color="auto"/>
        <w:bottom w:val="none" w:sz="0" w:space="0" w:color="auto"/>
        <w:right w:val="none" w:sz="0" w:space="0" w:color="auto"/>
      </w:divBdr>
    </w:div>
    <w:div w:id="1936134781">
      <w:bodyDiv w:val="1"/>
      <w:marLeft w:val="0"/>
      <w:marRight w:val="0"/>
      <w:marTop w:val="0"/>
      <w:marBottom w:val="0"/>
      <w:divBdr>
        <w:top w:val="none" w:sz="0" w:space="0" w:color="auto"/>
        <w:left w:val="none" w:sz="0" w:space="0" w:color="auto"/>
        <w:bottom w:val="none" w:sz="0" w:space="0" w:color="auto"/>
        <w:right w:val="none" w:sz="0" w:space="0" w:color="auto"/>
      </w:divBdr>
    </w:div>
    <w:div w:id="1936940485">
      <w:bodyDiv w:val="1"/>
      <w:marLeft w:val="0"/>
      <w:marRight w:val="0"/>
      <w:marTop w:val="0"/>
      <w:marBottom w:val="0"/>
      <w:divBdr>
        <w:top w:val="none" w:sz="0" w:space="0" w:color="auto"/>
        <w:left w:val="none" w:sz="0" w:space="0" w:color="auto"/>
        <w:bottom w:val="none" w:sz="0" w:space="0" w:color="auto"/>
        <w:right w:val="none" w:sz="0" w:space="0" w:color="auto"/>
      </w:divBdr>
    </w:div>
    <w:div w:id="1940671434">
      <w:bodyDiv w:val="1"/>
      <w:marLeft w:val="0"/>
      <w:marRight w:val="0"/>
      <w:marTop w:val="0"/>
      <w:marBottom w:val="0"/>
      <w:divBdr>
        <w:top w:val="none" w:sz="0" w:space="0" w:color="auto"/>
        <w:left w:val="none" w:sz="0" w:space="0" w:color="auto"/>
        <w:bottom w:val="none" w:sz="0" w:space="0" w:color="auto"/>
        <w:right w:val="none" w:sz="0" w:space="0" w:color="auto"/>
      </w:divBdr>
    </w:div>
    <w:div w:id="1950427074">
      <w:bodyDiv w:val="1"/>
      <w:marLeft w:val="0"/>
      <w:marRight w:val="0"/>
      <w:marTop w:val="0"/>
      <w:marBottom w:val="0"/>
      <w:divBdr>
        <w:top w:val="none" w:sz="0" w:space="0" w:color="auto"/>
        <w:left w:val="none" w:sz="0" w:space="0" w:color="auto"/>
        <w:bottom w:val="none" w:sz="0" w:space="0" w:color="auto"/>
        <w:right w:val="none" w:sz="0" w:space="0" w:color="auto"/>
      </w:divBdr>
    </w:div>
    <w:div w:id="1950549898">
      <w:bodyDiv w:val="1"/>
      <w:marLeft w:val="0"/>
      <w:marRight w:val="0"/>
      <w:marTop w:val="0"/>
      <w:marBottom w:val="0"/>
      <w:divBdr>
        <w:top w:val="none" w:sz="0" w:space="0" w:color="auto"/>
        <w:left w:val="none" w:sz="0" w:space="0" w:color="auto"/>
        <w:bottom w:val="none" w:sz="0" w:space="0" w:color="auto"/>
        <w:right w:val="none" w:sz="0" w:space="0" w:color="auto"/>
      </w:divBdr>
    </w:div>
    <w:div w:id="1959022712">
      <w:bodyDiv w:val="1"/>
      <w:marLeft w:val="0"/>
      <w:marRight w:val="0"/>
      <w:marTop w:val="0"/>
      <w:marBottom w:val="0"/>
      <w:divBdr>
        <w:top w:val="none" w:sz="0" w:space="0" w:color="auto"/>
        <w:left w:val="none" w:sz="0" w:space="0" w:color="auto"/>
        <w:bottom w:val="none" w:sz="0" w:space="0" w:color="auto"/>
        <w:right w:val="none" w:sz="0" w:space="0" w:color="auto"/>
      </w:divBdr>
    </w:div>
    <w:div w:id="1959556164">
      <w:bodyDiv w:val="1"/>
      <w:marLeft w:val="0"/>
      <w:marRight w:val="0"/>
      <w:marTop w:val="0"/>
      <w:marBottom w:val="0"/>
      <w:divBdr>
        <w:top w:val="none" w:sz="0" w:space="0" w:color="auto"/>
        <w:left w:val="none" w:sz="0" w:space="0" w:color="auto"/>
        <w:bottom w:val="none" w:sz="0" w:space="0" w:color="auto"/>
        <w:right w:val="none" w:sz="0" w:space="0" w:color="auto"/>
      </w:divBdr>
    </w:div>
    <w:div w:id="1979914088">
      <w:bodyDiv w:val="1"/>
      <w:marLeft w:val="0"/>
      <w:marRight w:val="0"/>
      <w:marTop w:val="0"/>
      <w:marBottom w:val="0"/>
      <w:divBdr>
        <w:top w:val="none" w:sz="0" w:space="0" w:color="auto"/>
        <w:left w:val="none" w:sz="0" w:space="0" w:color="auto"/>
        <w:bottom w:val="none" w:sz="0" w:space="0" w:color="auto"/>
        <w:right w:val="none" w:sz="0" w:space="0" w:color="auto"/>
      </w:divBdr>
    </w:div>
    <w:div w:id="1980644777">
      <w:bodyDiv w:val="1"/>
      <w:marLeft w:val="0"/>
      <w:marRight w:val="0"/>
      <w:marTop w:val="0"/>
      <w:marBottom w:val="0"/>
      <w:divBdr>
        <w:top w:val="none" w:sz="0" w:space="0" w:color="auto"/>
        <w:left w:val="none" w:sz="0" w:space="0" w:color="auto"/>
        <w:bottom w:val="none" w:sz="0" w:space="0" w:color="auto"/>
        <w:right w:val="none" w:sz="0" w:space="0" w:color="auto"/>
      </w:divBdr>
    </w:div>
    <w:div w:id="1988512568">
      <w:bodyDiv w:val="1"/>
      <w:marLeft w:val="0"/>
      <w:marRight w:val="0"/>
      <w:marTop w:val="0"/>
      <w:marBottom w:val="0"/>
      <w:divBdr>
        <w:top w:val="none" w:sz="0" w:space="0" w:color="auto"/>
        <w:left w:val="none" w:sz="0" w:space="0" w:color="auto"/>
        <w:bottom w:val="none" w:sz="0" w:space="0" w:color="auto"/>
        <w:right w:val="none" w:sz="0" w:space="0" w:color="auto"/>
      </w:divBdr>
    </w:div>
    <w:div w:id="1997226774">
      <w:bodyDiv w:val="1"/>
      <w:marLeft w:val="0"/>
      <w:marRight w:val="0"/>
      <w:marTop w:val="0"/>
      <w:marBottom w:val="0"/>
      <w:divBdr>
        <w:top w:val="none" w:sz="0" w:space="0" w:color="auto"/>
        <w:left w:val="none" w:sz="0" w:space="0" w:color="auto"/>
        <w:bottom w:val="none" w:sz="0" w:space="0" w:color="auto"/>
        <w:right w:val="none" w:sz="0" w:space="0" w:color="auto"/>
      </w:divBdr>
    </w:div>
    <w:div w:id="1998681414">
      <w:bodyDiv w:val="1"/>
      <w:marLeft w:val="0"/>
      <w:marRight w:val="0"/>
      <w:marTop w:val="0"/>
      <w:marBottom w:val="0"/>
      <w:divBdr>
        <w:top w:val="none" w:sz="0" w:space="0" w:color="auto"/>
        <w:left w:val="none" w:sz="0" w:space="0" w:color="auto"/>
        <w:bottom w:val="none" w:sz="0" w:space="0" w:color="auto"/>
        <w:right w:val="none" w:sz="0" w:space="0" w:color="auto"/>
      </w:divBdr>
    </w:div>
    <w:div w:id="2002730072">
      <w:bodyDiv w:val="1"/>
      <w:marLeft w:val="0"/>
      <w:marRight w:val="0"/>
      <w:marTop w:val="0"/>
      <w:marBottom w:val="0"/>
      <w:divBdr>
        <w:top w:val="none" w:sz="0" w:space="0" w:color="auto"/>
        <w:left w:val="none" w:sz="0" w:space="0" w:color="auto"/>
        <w:bottom w:val="none" w:sz="0" w:space="0" w:color="auto"/>
        <w:right w:val="none" w:sz="0" w:space="0" w:color="auto"/>
      </w:divBdr>
    </w:div>
    <w:div w:id="2003585530">
      <w:bodyDiv w:val="1"/>
      <w:marLeft w:val="0"/>
      <w:marRight w:val="0"/>
      <w:marTop w:val="0"/>
      <w:marBottom w:val="0"/>
      <w:divBdr>
        <w:top w:val="none" w:sz="0" w:space="0" w:color="auto"/>
        <w:left w:val="none" w:sz="0" w:space="0" w:color="auto"/>
        <w:bottom w:val="none" w:sz="0" w:space="0" w:color="auto"/>
        <w:right w:val="none" w:sz="0" w:space="0" w:color="auto"/>
      </w:divBdr>
    </w:div>
    <w:div w:id="2004354616">
      <w:bodyDiv w:val="1"/>
      <w:marLeft w:val="0"/>
      <w:marRight w:val="0"/>
      <w:marTop w:val="0"/>
      <w:marBottom w:val="0"/>
      <w:divBdr>
        <w:top w:val="none" w:sz="0" w:space="0" w:color="auto"/>
        <w:left w:val="none" w:sz="0" w:space="0" w:color="auto"/>
        <w:bottom w:val="none" w:sz="0" w:space="0" w:color="auto"/>
        <w:right w:val="none" w:sz="0" w:space="0" w:color="auto"/>
      </w:divBdr>
    </w:div>
    <w:div w:id="2004628080">
      <w:bodyDiv w:val="1"/>
      <w:marLeft w:val="0"/>
      <w:marRight w:val="0"/>
      <w:marTop w:val="0"/>
      <w:marBottom w:val="0"/>
      <w:divBdr>
        <w:top w:val="none" w:sz="0" w:space="0" w:color="auto"/>
        <w:left w:val="none" w:sz="0" w:space="0" w:color="auto"/>
        <w:bottom w:val="none" w:sz="0" w:space="0" w:color="auto"/>
        <w:right w:val="none" w:sz="0" w:space="0" w:color="auto"/>
      </w:divBdr>
    </w:div>
    <w:div w:id="2017688912">
      <w:bodyDiv w:val="1"/>
      <w:marLeft w:val="0"/>
      <w:marRight w:val="0"/>
      <w:marTop w:val="0"/>
      <w:marBottom w:val="0"/>
      <w:divBdr>
        <w:top w:val="none" w:sz="0" w:space="0" w:color="auto"/>
        <w:left w:val="none" w:sz="0" w:space="0" w:color="auto"/>
        <w:bottom w:val="none" w:sz="0" w:space="0" w:color="auto"/>
        <w:right w:val="none" w:sz="0" w:space="0" w:color="auto"/>
      </w:divBdr>
    </w:div>
    <w:div w:id="2020617143">
      <w:bodyDiv w:val="1"/>
      <w:marLeft w:val="0"/>
      <w:marRight w:val="0"/>
      <w:marTop w:val="0"/>
      <w:marBottom w:val="0"/>
      <w:divBdr>
        <w:top w:val="none" w:sz="0" w:space="0" w:color="auto"/>
        <w:left w:val="none" w:sz="0" w:space="0" w:color="auto"/>
        <w:bottom w:val="none" w:sz="0" w:space="0" w:color="auto"/>
        <w:right w:val="none" w:sz="0" w:space="0" w:color="auto"/>
      </w:divBdr>
    </w:div>
    <w:div w:id="2023044509">
      <w:bodyDiv w:val="1"/>
      <w:marLeft w:val="0"/>
      <w:marRight w:val="0"/>
      <w:marTop w:val="0"/>
      <w:marBottom w:val="0"/>
      <w:divBdr>
        <w:top w:val="none" w:sz="0" w:space="0" w:color="auto"/>
        <w:left w:val="none" w:sz="0" w:space="0" w:color="auto"/>
        <w:bottom w:val="none" w:sz="0" w:space="0" w:color="auto"/>
        <w:right w:val="none" w:sz="0" w:space="0" w:color="auto"/>
      </w:divBdr>
    </w:div>
    <w:div w:id="2027369050">
      <w:bodyDiv w:val="1"/>
      <w:marLeft w:val="0"/>
      <w:marRight w:val="0"/>
      <w:marTop w:val="0"/>
      <w:marBottom w:val="0"/>
      <w:divBdr>
        <w:top w:val="none" w:sz="0" w:space="0" w:color="auto"/>
        <w:left w:val="none" w:sz="0" w:space="0" w:color="auto"/>
        <w:bottom w:val="none" w:sz="0" w:space="0" w:color="auto"/>
        <w:right w:val="none" w:sz="0" w:space="0" w:color="auto"/>
      </w:divBdr>
    </w:div>
    <w:div w:id="2035762620">
      <w:bodyDiv w:val="1"/>
      <w:marLeft w:val="0"/>
      <w:marRight w:val="0"/>
      <w:marTop w:val="0"/>
      <w:marBottom w:val="0"/>
      <w:divBdr>
        <w:top w:val="none" w:sz="0" w:space="0" w:color="auto"/>
        <w:left w:val="none" w:sz="0" w:space="0" w:color="auto"/>
        <w:bottom w:val="none" w:sz="0" w:space="0" w:color="auto"/>
        <w:right w:val="none" w:sz="0" w:space="0" w:color="auto"/>
      </w:divBdr>
    </w:div>
    <w:div w:id="2038921000">
      <w:bodyDiv w:val="1"/>
      <w:marLeft w:val="0"/>
      <w:marRight w:val="0"/>
      <w:marTop w:val="0"/>
      <w:marBottom w:val="0"/>
      <w:divBdr>
        <w:top w:val="none" w:sz="0" w:space="0" w:color="auto"/>
        <w:left w:val="none" w:sz="0" w:space="0" w:color="auto"/>
        <w:bottom w:val="none" w:sz="0" w:space="0" w:color="auto"/>
        <w:right w:val="none" w:sz="0" w:space="0" w:color="auto"/>
      </w:divBdr>
    </w:div>
    <w:div w:id="2041855311">
      <w:bodyDiv w:val="1"/>
      <w:marLeft w:val="0"/>
      <w:marRight w:val="0"/>
      <w:marTop w:val="0"/>
      <w:marBottom w:val="0"/>
      <w:divBdr>
        <w:top w:val="none" w:sz="0" w:space="0" w:color="auto"/>
        <w:left w:val="none" w:sz="0" w:space="0" w:color="auto"/>
        <w:bottom w:val="none" w:sz="0" w:space="0" w:color="auto"/>
        <w:right w:val="none" w:sz="0" w:space="0" w:color="auto"/>
      </w:divBdr>
    </w:div>
    <w:div w:id="2050563247">
      <w:bodyDiv w:val="1"/>
      <w:marLeft w:val="0"/>
      <w:marRight w:val="0"/>
      <w:marTop w:val="0"/>
      <w:marBottom w:val="0"/>
      <w:divBdr>
        <w:top w:val="none" w:sz="0" w:space="0" w:color="auto"/>
        <w:left w:val="none" w:sz="0" w:space="0" w:color="auto"/>
        <w:bottom w:val="none" w:sz="0" w:space="0" w:color="auto"/>
        <w:right w:val="none" w:sz="0" w:space="0" w:color="auto"/>
      </w:divBdr>
    </w:div>
    <w:div w:id="2052071422">
      <w:bodyDiv w:val="1"/>
      <w:marLeft w:val="0"/>
      <w:marRight w:val="0"/>
      <w:marTop w:val="0"/>
      <w:marBottom w:val="0"/>
      <w:divBdr>
        <w:top w:val="none" w:sz="0" w:space="0" w:color="auto"/>
        <w:left w:val="none" w:sz="0" w:space="0" w:color="auto"/>
        <w:bottom w:val="none" w:sz="0" w:space="0" w:color="auto"/>
        <w:right w:val="none" w:sz="0" w:space="0" w:color="auto"/>
      </w:divBdr>
    </w:div>
    <w:div w:id="2058435906">
      <w:bodyDiv w:val="1"/>
      <w:marLeft w:val="0"/>
      <w:marRight w:val="0"/>
      <w:marTop w:val="0"/>
      <w:marBottom w:val="0"/>
      <w:divBdr>
        <w:top w:val="none" w:sz="0" w:space="0" w:color="auto"/>
        <w:left w:val="none" w:sz="0" w:space="0" w:color="auto"/>
        <w:bottom w:val="none" w:sz="0" w:space="0" w:color="auto"/>
        <w:right w:val="none" w:sz="0" w:space="0" w:color="auto"/>
      </w:divBdr>
    </w:div>
    <w:div w:id="2059352800">
      <w:bodyDiv w:val="1"/>
      <w:marLeft w:val="0"/>
      <w:marRight w:val="0"/>
      <w:marTop w:val="0"/>
      <w:marBottom w:val="0"/>
      <w:divBdr>
        <w:top w:val="none" w:sz="0" w:space="0" w:color="auto"/>
        <w:left w:val="none" w:sz="0" w:space="0" w:color="auto"/>
        <w:bottom w:val="none" w:sz="0" w:space="0" w:color="auto"/>
        <w:right w:val="none" w:sz="0" w:space="0" w:color="auto"/>
      </w:divBdr>
    </w:div>
    <w:div w:id="2059695846">
      <w:bodyDiv w:val="1"/>
      <w:marLeft w:val="0"/>
      <w:marRight w:val="0"/>
      <w:marTop w:val="0"/>
      <w:marBottom w:val="0"/>
      <w:divBdr>
        <w:top w:val="none" w:sz="0" w:space="0" w:color="auto"/>
        <w:left w:val="none" w:sz="0" w:space="0" w:color="auto"/>
        <w:bottom w:val="none" w:sz="0" w:space="0" w:color="auto"/>
        <w:right w:val="none" w:sz="0" w:space="0" w:color="auto"/>
      </w:divBdr>
    </w:div>
    <w:div w:id="2060980299">
      <w:bodyDiv w:val="1"/>
      <w:marLeft w:val="0"/>
      <w:marRight w:val="0"/>
      <w:marTop w:val="0"/>
      <w:marBottom w:val="0"/>
      <w:divBdr>
        <w:top w:val="none" w:sz="0" w:space="0" w:color="auto"/>
        <w:left w:val="none" w:sz="0" w:space="0" w:color="auto"/>
        <w:bottom w:val="none" w:sz="0" w:space="0" w:color="auto"/>
        <w:right w:val="none" w:sz="0" w:space="0" w:color="auto"/>
      </w:divBdr>
    </w:div>
    <w:div w:id="2062362521">
      <w:bodyDiv w:val="1"/>
      <w:marLeft w:val="0"/>
      <w:marRight w:val="0"/>
      <w:marTop w:val="0"/>
      <w:marBottom w:val="0"/>
      <w:divBdr>
        <w:top w:val="none" w:sz="0" w:space="0" w:color="auto"/>
        <w:left w:val="none" w:sz="0" w:space="0" w:color="auto"/>
        <w:bottom w:val="none" w:sz="0" w:space="0" w:color="auto"/>
        <w:right w:val="none" w:sz="0" w:space="0" w:color="auto"/>
      </w:divBdr>
    </w:div>
    <w:div w:id="2070760245">
      <w:bodyDiv w:val="1"/>
      <w:marLeft w:val="0"/>
      <w:marRight w:val="0"/>
      <w:marTop w:val="0"/>
      <w:marBottom w:val="0"/>
      <w:divBdr>
        <w:top w:val="none" w:sz="0" w:space="0" w:color="auto"/>
        <w:left w:val="none" w:sz="0" w:space="0" w:color="auto"/>
        <w:bottom w:val="none" w:sz="0" w:space="0" w:color="auto"/>
        <w:right w:val="none" w:sz="0" w:space="0" w:color="auto"/>
      </w:divBdr>
    </w:div>
    <w:div w:id="2074159238">
      <w:bodyDiv w:val="1"/>
      <w:marLeft w:val="0"/>
      <w:marRight w:val="0"/>
      <w:marTop w:val="0"/>
      <w:marBottom w:val="0"/>
      <w:divBdr>
        <w:top w:val="none" w:sz="0" w:space="0" w:color="auto"/>
        <w:left w:val="none" w:sz="0" w:space="0" w:color="auto"/>
        <w:bottom w:val="none" w:sz="0" w:space="0" w:color="auto"/>
        <w:right w:val="none" w:sz="0" w:space="0" w:color="auto"/>
      </w:divBdr>
    </w:div>
    <w:div w:id="2074309290">
      <w:bodyDiv w:val="1"/>
      <w:marLeft w:val="0"/>
      <w:marRight w:val="0"/>
      <w:marTop w:val="0"/>
      <w:marBottom w:val="0"/>
      <w:divBdr>
        <w:top w:val="none" w:sz="0" w:space="0" w:color="auto"/>
        <w:left w:val="none" w:sz="0" w:space="0" w:color="auto"/>
        <w:bottom w:val="none" w:sz="0" w:space="0" w:color="auto"/>
        <w:right w:val="none" w:sz="0" w:space="0" w:color="auto"/>
      </w:divBdr>
    </w:div>
    <w:div w:id="2079789472">
      <w:bodyDiv w:val="1"/>
      <w:marLeft w:val="0"/>
      <w:marRight w:val="0"/>
      <w:marTop w:val="0"/>
      <w:marBottom w:val="0"/>
      <w:divBdr>
        <w:top w:val="none" w:sz="0" w:space="0" w:color="auto"/>
        <w:left w:val="none" w:sz="0" w:space="0" w:color="auto"/>
        <w:bottom w:val="none" w:sz="0" w:space="0" w:color="auto"/>
        <w:right w:val="none" w:sz="0" w:space="0" w:color="auto"/>
      </w:divBdr>
    </w:div>
    <w:div w:id="2082486644">
      <w:bodyDiv w:val="1"/>
      <w:marLeft w:val="0"/>
      <w:marRight w:val="0"/>
      <w:marTop w:val="0"/>
      <w:marBottom w:val="0"/>
      <w:divBdr>
        <w:top w:val="none" w:sz="0" w:space="0" w:color="auto"/>
        <w:left w:val="none" w:sz="0" w:space="0" w:color="auto"/>
        <w:bottom w:val="none" w:sz="0" w:space="0" w:color="auto"/>
        <w:right w:val="none" w:sz="0" w:space="0" w:color="auto"/>
      </w:divBdr>
    </w:div>
    <w:div w:id="2084251840">
      <w:bodyDiv w:val="1"/>
      <w:marLeft w:val="0"/>
      <w:marRight w:val="0"/>
      <w:marTop w:val="0"/>
      <w:marBottom w:val="0"/>
      <w:divBdr>
        <w:top w:val="none" w:sz="0" w:space="0" w:color="auto"/>
        <w:left w:val="none" w:sz="0" w:space="0" w:color="auto"/>
        <w:bottom w:val="none" w:sz="0" w:space="0" w:color="auto"/>
        <w:right w:val="none" w:sz="0" w:space="0" w:color="auto"/>
      </w:divBdr>
    </w:div>
    <w:div w:id="2086801040">
      <w:bodyDiv w:val="1"/>
      <w:marLeft w:val="0"/>
      <w:marRight w:val="0"/>
      <w:marTop w:val="0"/>
      <w:marBottom w:val="0"/>
      <w:divBdr>
        <w:top w:val="none" w:sz="0" w:space="0" w:color="auto"/>
        <w:left w:val="none" w:sz="0" w:space="0" w:color="auto"/>
        <w:bottom w:val="none" w:sz="0" w:space="0" w:color="auto"/>
        <w:right w:val="none" w:sz="0" w:space="0" w:color="auto"/>
      </w:divBdr>
    </w:div>
    <w:div w:id="2089036097">
      <w:bodyDiv w:val="1"/>
      <w:marLeft w:val="0"/>
      <w:marRight w:val="0"/>
      <w:marTop w:val="0"/>
      <w:marBottom w:val="0"/>
      <w:divBdr>
        <w:top w:val="none" w:sz="0" w:space="0" w:color="auto"/>
        <w:left w:val="none" w:sz="0" w:space="0" w:color="auto"/>
        <w:bottom w:val="none" w:sz="0" w:space="0" w:color="auto"/>
        <w:right w:val="none" w:sz="0" w:space="0" w:color="auto"/>
      </w:divBdr>
    </w:div>
    <w:div w:id="2098944591">
      <w:bodyDiv w:val="1"/>
      <w:marLeft w:val="0"/>
      <w:marRight w:val="0"/>
      <w:marTop w:val="0"/>
      <w:marBottom w:val="0"/>
      <w:divBdr>
        <w:top w:val="none" w:sz="0" w:space="0" w:color="auto"/>
        <w:left w:val="none" w:sz="0" w:space="0" w:color="auto"/>
        <w:bottom w:val="none" w:sz="0" w:space="0" w:color="auto"/>
        <w:right w:val="none" w:sz="0" w:space="0" w:color="auto"/>
      </w:divBdr>
    </w:div>
    <w:div w:id="2101025719">
      <w:bodyDiv w:val="1"/>
      <w:marLeft w:val="0"/>
      <w:marRight w:val="0"/>
      <w:marTop w:val="0"/>
      <w:marBottom w:val="0"/>
      <w:divBdr>
        <w:top w:val="none" w:sz="0" w:space="0" w:color="auto"/>
        <w:left w:val="none" w:sz="0" w:space="0" w:color="auto"/>
        <w:bottom w:val="none" w:sz="0" w:space="0" w:color="auto"/>
        <w:right w:val="none" w:sz="0" w:space="0" w:color="auto"/>
      </w:divBdr>
    </w:div>
    <w:div w:id="2106881580">
      <w:bodyDiv w:val="1"/>
      <w:marLeft w:val="0"/>
      <w:marRight w:val="0"/>
      <w:marTop w:val="0"/>
      <w:marBottom w:val="0"/>
      <w:divBdr>
        <w:top w:val="none" w:sz="0" w:space="0" w:color="auto"/>
        <w:left w:val="none" w:sz="0" w:space="0" w:color="auto"/>
        <w:bottom w:val="none" w:sz="0" w:space="0" w:color="auto"/>
        <w:right w:val="none" w:sz="0" w:space="0" w:color="auto"/>
      </w:divBdr>
    </w:div>
    <w:div w:id="2107384329">
      <w:bodyDiv w:val="1"/>
      <w:marLeft w:val="0"/>
      <w:marRight w:val="0"/>
      <w:marTop w:val="0"/>
      <w:marBottom w:val="0"/>
      <w:divBdr>
        <w:top w:val="none" w:sz="0" w:space="0" w:color="auto"/>
        <w:left w:val="none" w:sz="0" w:space="0" w:color="auto"/>
        <w:bottom w:val="none" w:sz="0" w:space="0" w:color="auto"/>
        <w:right w:val="none" w:sz="0" w:space="0" w:color="auto"/>
      </w:divBdr>
    </w:div>
    <w:div w:id="2119642096">
      <w:bodyDiv w:val="1"/>
      <w:marLeft w:val="0"/>
      <w:marRight w:val="0"/>
      <w:marTop w:val="0"/>
      <w:marBottom w:val="0"/>
      <w:divBdr>
        <w:top w:val="none" w:sz="0" w:space="0" w:color="auto"/>
        <w:left w:val="none" w:sz="0" w:space="0" w:color="auto"/>
        <w:bottom w:val="none" w:sz="0" w:space="0" w:color="auto"/>
        <w:right w:val="none" w:sz="0" w:space="0" w:color="auto"/>
      </w:divBdr>
    </w:div>
    <w:div w:id="2124108439">
      <w:bodyDiv w:val="1"/>
      <w:marLeft w:val="0"/>
      <w:marRight w:val="0"/>
      <w:marTop w:val="0"/>
      <w:marBottom w:val="0"/>
      <w:divBdr>
        <w:top w:val="none" w:sz="0" w:space="0" w:color="auto"/>
        <w:left w:val="none" w:sz="0" w:space="0" w:color="auto"/>
        <w:bottom w:val="none" w:sz="0" w:space="0" w:color="auto"/>
        <w:right w:val="none" w:sz="0" w:space="0" w:color="auto"/>
      </w:divBdr>
    </w:div>
    <w:div w:id="2130009573">
      <w:bodyDiv w:val="1"/>
      <w:marLeft w:val="0"/>
      <w:marRight w:val="0"/>
      <w:marTop w:val="0"/>
      <w:marBottom w:val="0"/>
      <w:divBdr>
        <w:top w:val="none" w:sz="0" w:space="0" w:color="auto"/>
        <w:left w:val="none" w:sz="0" w:space="0" w:color="auto"/>
        <w:bottom w:val="none" w:sz="0" w:space="0" w:color="auto"/>
        <w:right w:val="none" w:sz="0" w:space="0" w:color="auto"/>
      </w:divBdr>
    </w:div>
    <w:div w:id="2130662224">
      <w:bodyDiv w:val="1"/>
      <w:marLeft w:val="0"/>
      <w:marRight w:val="0"/>
      <w:marTop w:val="0"/>
      <w:marBottom w:val="0"/>
      <w:divBdr>
        <w:top w:val="none" w:sz="0" w:space="0" w:color="auto"/>
        <w:left w:val="none" w:sz="0" w:space="0" w:color="auto"/>
        <w:bottom w:val="none" w:sz="0" w:space="0" w:color="auto"/>
        <w:right w:val="none" w:sz="0" w:space="0" w:color="auto"/>
      </w:divBdr>
    </w:div>
    <w:div w:id="21363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icao.int/GAS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6.xml"/><Relationship Id="rId33"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icao.int/EURNAT/EUR-NAT-DOCS?fid=5939" TargetMode="External"/><Relationship Id="rId32"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hyperlink" Target="https://www.icao.int/EURNAT/EUR-RAS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easa.europa.eu/en/domains/safety-management/european-plan-aviation-safety" TargetMode="External"/><Relationship Id="rId27" Type="http://schemas.openxmlformats.org/officeDocument/2006/relationships/image" Target="media/image7.png"/><Relationship Id="rId30" Type="http://schemas.openxmlformats.org/officeDocument/2006/relationships/hyperlink" Target="mailto:eurrasp@icao.int" TargetMode="External"/><Relationship Id="rId35" Type="http://schemas.openxmlformats.org/officeDocument/2006/relationships/theme" Target="theme/theme1.xml"/><Relationship Id="rId8"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s://science.nasa.gov/climate-change/extreme-weather/" TargetMode="External"/><Relationship Id="rId2" Type="http://schemas.openxmlformats.org/officeDocument/2006/relationships/hyperlink" Target="https://www.eurocontrol.int/publication/network-strategy-plan-2025-2029" TargetMode="External"/><Relationship Id="rId1" Type="http://schemas.openxmlformats.org/officeDocument/2006/relationships/hyperlink" Target="https://eur-lex.europa.eu/legal-content/EN/TXT/?uri=CELEX:52022DC0529" TargetMode="External"/><Relationship Id="rId5" Type="http://schemas.openxmlformats.org/officeDocument/2006/relationships/hyperlink" Target="https://www.icao.int/safety/airnavigation/AIG/Pages/Taxonomy.aspx" TargetMode="External"/><Relationship Id="rId4" Type="http://schemas.openxmlformats.org/officeDocument/2006/relationships/hyperlink" Target="https://www.icao.int/GASP"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8358dc2d-5dac-4cc2-8ed1-5c2041965753" ContentTypeId="0x010100A14FE9BE6CE84F1BB23C774EC08C4AEA073A" PreviousValue="false"/>
</file>

<file path=customXml/item2.xml><?xml version="1.0" encoding="utf-8"?>
<ct:contentTypeSchema xmlns:ct="http://schemas.microsoft.com/office/2006/metadata/contentType" xmlns:ma="http://schemas.microsoft.com/office/2006/metadata/properties/metaAttributes" ct:_="" ma:_="" ma:contentTypeName="SFPRG EPAS" ma:contentTypeID="0x010100A14FE9BE6CE84F1BB23C774EC08C4AEA073A00491E9A3B3B56E24BBD4EAF49F9A92954" ma:contentTypeVersion="15" ma:contentTypeDescription="" ma:contentTypeScope="" ma:versionID="bc12868d16910ab78b98b47c9239f6fc">
  <xsd:schema xmlns:xsd="http://www.w3.org/2001/XMLSchema" xmlns:xs="http://www.w3.org/2001/XMLSchema" xmlns:p="http://schemas.microsoft.com/office/2006/metadata/properties" xmlns:ns2="391a2f22-9f1b-4edd-a10b-257ace2d067d" xmlns:ns3="720140C3-6DF4-409B-A1F7-429D32417DCA" xmlns:ns4="6E10281A-CD3A-4F0C-9B7D-A2009929208B" xmlns:ns5="e8879246-bfc1-4b56-8f26-022543d6b024" targetNamespace="http://schemas.microsoft.com/office/2006/metadata/properties" ma:root="true" ma:fieldsID="91d0e733886fc354bcc26e7633e2984e" ns2:_="" ns3:_="" ns4:_="" ns5:_="">
    <xsd:import namespace="391a2f22-9f1b-4edd-a10b-257ace2d067d"/>
    <xsd:import namespace="720140C3-6DF4-409B-A1F7-429D32417DCA"/>
    <xsd:import namespace="6E10281A-CD3A-4F0C-9B7D-A2009929208B"/>
    <xsd:import namespace="e8879246-bfc1-4b56-8f26-022543d6b024"/>
    <xsd:element name="properties">
      <xsd:complexType>
        <xsd:sequence>
          <xsd:element name="documentManagement">
            <xsd:complexType>
              <xsd:all>
                <xsd:element ref="ns2:_dlc_DocId" minOccurs="0"/>
                <xsd:element ref="ns2:_dlc_DocIdUrl" minOccurs="0"/>
                <xsd:element ref="ns2:_dlc_DocIdPersistId" minOccurs="0"/>
                <xsd:element ref="ns2:IMF_C0_Description" minOccurs="0"/>
                <xsd:element ref="ns2:IMF_C0_Contributor" minOccurs="0"/>
                <xsd:element ref="ns2:IMF_C0_Archived" minOccurs="0"/>
                <xsd:element ref="ns3:IMF_C0_TaxonomyTaxHTField0" minOccurs="0"/>
                <xsd:element ref="ns2:IMF_C0_Owner" minOccurs="0"/>
                <xsd:element ref="ns2:IMF_C0_OriginatedTimestamp" minOccurs="0"/>
                <xsd:element ref="ns2:IMF_C0_PublicationStatus"/>
                <xsd:element ref="ns3:IMF_C0_SourceTaxHTField0" minOccurs="0"/>
                <xsd:element ref="ns2:IMF_C0_Distribution" minOccurs="0"/>
                <xsd:element ref="ns2:IMF_C0_Language" minOccurs="0"/>
                <xsd:element ref="ns2:TaxKeywordTaxHTField" minOccurs="0"/>
                <xsd:element ref="ns4:IMF_RC_RefDocumentGuid" minOccurs="0"/>
                <xsd:element ref="ns4:IMF_RC_RefDocumentId" minOccurs="0"/>
                <xsd:element ref="ns4:IMF_RC_RefDocumentVersion" minOccurs="0"/>
                <xsd:element ref="ns4:IMF_RC_RefDocumentLib" minOccurs="0"/>
                <xsd:element ref="ns4:IMF_RC_RefDocumentSet" minOccurs="0"/>
                <xsd:element ref="ns4:IMF_RC_RefDocumentInfo" minOccurs="0"/>
                <xsd:element ref="ns2:IMF_C1_Year" minOccurs="0"/>
                <xsd:element ref="ns5:IMF_C53_Edition"/>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a2f22-9f1b-4edd-a10b-257ace2d067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IMF_C0_Description" ma:index="12" nillable="true" ma:displayName="Description" ma:description="Short description of document and its contents" ma:internalName="IMF_C0_Description" ma:readOnly="false">
      <xsd:simpleType>
        <xsd:restriction base="dms:Note">
          <xsd:maxLength value="255"/>
        </xsd:restriction>
      </xsd:simpleType>
    </xsd:element>
    <xsd:element name="IMF_C0_Contributor" ma:index="13" nillable="true" ma:displayName="Contributor" ma:description="Indicate one or more contributors to the object" ma:list="UserInfo" ma:internalName="IMF_C0_Contribu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MF_C0_Archived" ma:index="14" nillable="true" ma:displayName="Archived" ma:default="0" ma:description="Indicates cycle status of object" ma:hidden="true" ma:internalName="IMF_C0_Archived" ma:readOnly="false">
      <xsd:simpleType>
        <xsd:restriction base="dms:Boolean"/>
      </xsd:simpleType>
    </xsd:element>
    <xsd:element name="IMF_C0_Owner" ma:index="17" nillable="true" ma:displayName="Owner" ma:default="" ma:description="Indicates Head of department" ma:hidden="true" ma:list="UserInfo" ma:internalName="IMF_C0_Own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MF_C0_OriginatedTimestamp" ma:index="18" nillable="true" ma:displayName="Originated timestamp" ma:default="[today]" ma:description="Indicates originated timestamp of object if not created in SP" ma:format="DateTime" ma:internalName="IMF_C0_OriginatedTimestamp" ma:readOnly="false">
      <xsd:simpleType>
        <xsd:restriction base="dms:DateTime"/>
      </xsd:simpleType>
    </xsd:element>
    <xsd:element name="IMF_C0_PublicationStatus" ma:index="19" ma:displayName="Publication status" ma:default="EASA internal" ma:description="Indictates if the object can be published outwards the Internet" ma:internalName="IMF_C0_PublicationStatus" ma:readOnly="false">
      <xsd:simpleType>
        <xsd:restriction base="dms:Choice">
          <xsd:enumeration value="EASA internal"/>
          <xsd:enumeration value="Not reviewed for public release"/>
          <xsd:enumeration value="Approved for public release"/>
          <xsd:enumeration value="Sensitive but unclassified"/>
        </xsd:restriction>
      </xsd:simpleType>
    </xsd:element>
    <xsd:element name="IMF_C0_Distribution" ma:index="22" nillable="true" ma:displayName="Distribution" ma:default="EASA" ma:description="Indicate if object comes into or leaves EASA (EASA/In/Out)" ma:hidden="true" ma:internalName="IMF_C0_Distribution" ma:readOnly="false">
      <xsd:simpleType>
        <xsd:restriction base="dms:Choice">
          <xsd:enumeration value="EASA"/>
          <xsd:enumeration value="In"/>
          <xsd:enumeration value="Out"/>
        </xsd:restriction>
      </xsd:simpleType>
    </xsd:element>
    <xsd:element name="IMF_C0_Language" ma:index="23" nillable="true" ma:displayName="Language" ma:default="English" ma:description="" ma:hidden="true" ma:internalName="IMF_C0_Language" ma:readOnly="false">
      <xsd:simpleType>
        <xsd:restriction base="dms:Choice">
          <xsd:enumeration value="English"/>
          <xsd:enumeration value="French"/>
          <xsd:enumeration value="German"/>
        </xsd:restriction>
      </xsd:simpleType>
    </xsd:element>
    <xsd:element name="TaxKeywordTaxHTField" ma:index="24" nillable="true" ma:taxonomy="true" ma:internalName="TaxKeywordTaxHTField" ma:taxonomyFieldName="TaxKeyword" ma:displayName="Enterprise Keywords" ma:readOnly="false" ma:fieldId="{23f27201-bee3-471e-b2e7-b64fd8b7ca38}" ma:taxonomyMulti="true" ma:sspId="8358dc2d-5dac-4cc2-8ed1-5c2041965753" ma:termSetId="00000000-0000-0000-0000-000000000000" ma:anchorId="00000000-0000-0000-0000-000000000000" ma:open="true" ma:isKeyword="true">
      <xsd:complexType>
        <xsd:sequence>
          <xsd:element ref="pc:Terms" minOccurs="0" maxOccurs="1"/>
        </xsd:sequence>
      </xsd:complexType>
    </xsd:element>
    <xsd:element name="IMF_C1_Year" ma:index="32" nillable="true" ma:displayName="Year" ma:description="Year value" ma:internalName="IMF_C1_Year">
      <xsd:simpleType>
        <xsd:restriction base="dms:Number">
          <xsd:maxInclusive value="2200"/>
          <xsd:minInclusive value="1900"/>
        </xsd:restriction>
      </xsd:simpleType>
    </xsd:element>
    <xsd:element name="TaxCatchAll" ma:index="34" nillable="true" ma:displayName="Taxonomy Catch All Column" ma:hidden="true" ma:list="{f20cd696-f0fd-4726-a78d-d2f83f3ab84a}" ma:internalName="TaxCatchAll" ma:showField="CatchAllData" ma:web="714ec979-e668-4125-83b7-67c031615bb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0140C3-6DF4-409B-A1F7-429D32417DCA" elementFormDefault="qualified">
    <xsd:import namespace="http://schemas.microsoft.com/office/2006/documentManagement/types"/>
    <xsd:import namespace="http://schemas.microsoft.com/office/infopath/2007/PartnerControls"/>
    <xsd:element name="IMF_C0_TaxonomyTaxHTField0" ma:index="15" ma:taxonomy="true" ma:internalName="IMF_C0_TaxonomyTaxHTField0" ma:taxonomyFieldName="IMF_C0_Taxonomy" ma:displayName="Taxonomy" ma:readOnly="false" ma:fieldId="{cf456d8d-8c00-4f58-9eea-3acf158a8d25}" ma:sspId="8358dc2d-5dac-4cc2-8ed1-5c2041965753" ma:termSetId="4b10b631-c2b5-4fc7-abfe-3cafbec3fca2" ma:anchorId="00000000-0000-0000-0000-000000000000" ma:open="false" ma:isKeyword="false">
      <xsd:complexType>
        <xsd:sequence>
          <xsd:element ref="pc:Terms" minOccurs="0" maxOccurs="1"/>
        </xsd:sequence>
      </xsd:complexType>
    </xsd:element>
    <xsd:element name="IMF_C0_SourceTaxHTField0" ma:index="20" ma:taxonomy="true" ma:internalName="IMF_C0_SourceTaxHTField0" ma:taxonomyFieldName="IMF_C0_Source" ma:displayName="Source" ma:readOnly="false" ma:default="1;#EASA|f2fd8376-381c-4ede-a9cd-0a84d06f4d45" ma:fieldId="{eb94dad3-d236-47b0-8922-8fe392b9072c}" ma:sspId="8358dc2d-5dac-4cc2-8ed1-5c2041965753" ma:termSetId="c85d0ee6-6f1d-4fee-ac6f-42b79544e64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E10281A-CD3A-4F0C-9B7D-A2009929208B" elementFormDefault="qualified">
    <xsd:import namespace="http://schemas.microsoft.com/office/2006/documentManagement/types"/>
    <xsd:import namespace="http://schemas.microsoft.com/office/infopath/2007/PartnerControls"/>
    <xsd:element name="IMF_RC_RefDocumentGuid" ma:index="26" nillable="true" ma:displayName="RefGuid" ma:description="" ma:hidden="true" ma:internalName="IMF_RC_RefDocumentGuid">
      <xsd:simpleType>
        <xsd:restriction base="dms:Text"/>
      </xsd:simpleType>
    </xsd:element>
    <xsd:element name="IMF_RC_RefDocumentId" ma:index="27" nillable="true" ma:displayName="RefId" ma:description="" ma:hidden="true" ma:internalName="IMF_RC_RefDocumentId">
      <xsd:simpleType>
        <xsd:restriction base="dms:Text"/>
      </xsd:simpleType>
    </xsd:element>
    <xsd:element name="IMF_RC_RefDocumentVersion" ma:index="28" nillable="true" ma:displayName="RefVer" ma:description="" ma:hidden="true" ma:internalName="IMF_RC_RefDocumentVersion">
      <xsd:simpleType>
        <xsd:restriction base="dms:Text"/>
      </xsd:simpleType>
    </xsd:element>
    <xsd:element name="IMF_RC_RefDocumentLib" ma:index="29" nillable="true" ma:displayName="RefLib" ma:description="" ma:hidden="true" ma:internalName="IMF_RC_RefDocumentLib">
      <xsd:simpleType>
        <xsd:restriction base="dms:Text"/>
      </xsd:simpleType>
    </xsd:element>
    <xsd:element name="IMF_RC_RefDocumentSet" ma:index="30" nillable="true" ma:displayName="RefDs" ma:description="" ma:hidden="true" ma:internalName="IMF_RC_RefDocumentSet">
      <xsd:simpleType>
        <xsd:restriction base="dms:Text"/>
      </xsd:simpleType>
    </xsd:element>
    <xsd:element name="IMF_RC_RefDocumentInfo" ma:index="31" nillable="true" ma:displayName="RefInfo" ma:description="" ma:hidden="true" ma:internalName="IMF_RC_RefDocumentInfo"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879246-bfc1-4b56-8f26-022543d6b024" elementFormDefault="qualified">
    <xsd:import namespace="http://schemas.microsoft.com/office/2006/documentManagement/types"/>
    <xsd:import namespace="http://schemas.microsoft.com/office/infopath/2007/PartnerControls"/>
    <xsd:element name="IMF_C53_Edition" ma:index="33" ma:displayName="Edition" ma:description="" ma:internalName="IMF_C53_Edition"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MF_C0_PublicationStatus xmlns="391a2f22-9f1b-4edd-a10b-257ace2d067d">EASA internal</IMF_C0_PublicationStatus>
    <IMF_C0_Language xmlns="391a2f22-9f1b-4edd-a10b-257ace2d067d">English</IMF_C0_Language>
    <IMF_RC_RefDocumentId xmlns="6E10281A-CD3A-4F0C-9B7D-A2009929208B" xsi:nil="true"/>
    <IMF_C0_Owner xmlns="391a2f22-9f1b-4edd-a10b-257ace2d067d">
      <UserInfo>
        <DisplayName/>
        <AccountId xsi:nil="true"/>
        <AccountType/>
      </UserInfo>
    </IMF_C0_Owner>
    <IMF_C0_OriginatedTimestamp xmlns="391a2f22-9f1b-4edd-a10b-257ace2d067d">2021-11-04T09:41:00+00:00</IMF_C0_OriginatedTimestamp>
    <IMF_C53_Edition xmlns="e8879246-bfc1-4b56-8f26-022543d6b024">Third</IMF_C53_Edition>
    <IMF_RC_RefDocumentVersion xmlns="6E10281A-CD3A-4F0C-9B7D-A2009929208B" xsi:nil="true"/>
    <IMF_C0_Archived xmlns="391a2f22-9f1b-4edd-a10b-257ace2d067d">false</IMF_C0_Archived>
    <IMF_C0_SourceTaxHTField0 xmlns="720140C3-6DF4-409B-A1F7-429D32417DCA">
      <Terms xmlns="http://schemas.microsoft.com/office/infopath/2007/PartnerControls">
        <TermInfo xmlns="http://schemas.microsoft.com/office/infopath/2007/PartnerControls">
          <TermName xmlns="http://schemas.microsoft.com/office/infopath/2007/PartnerControls">EASA</TermName>
          <TermId xmlns="http://schemas.microsoft.com/office/infopath/2007/PartnerControls">f2fd8376-381c-4ede-a9cd-0a84d06f4d45</TermId>
        </TermInfo>
      </Terms>
    </IMF_C0_SourceTaxHTField0>
    <IMF_RC_RefDocumentGuid xmlns="6E10281A-CD3A-4F0C-9B7D-A2009929208B" xsi:nil="true"/>
    <IMF_C1_Year xmlns="391a2f22-9f1b-4edd-a10b-257ace2d067d">2022</IMF_C1_Year>
    <IMF_C0_Contributor xmlns="391a2f22-9f1b-4edd-a10b-257ace2d067d">
      <UserInfo>
        <DisplayName/>
        <AccountId xsi:nil="true"/>
        <AccountType/>
      </UserInfo>
    </IMF_C0_Contributor>
    <TaxCatchAll xmlns="391a2f22-9f1b-4edd-a10b-257ace2d067d">
      <Value>101</Value>
      <Value>2</Value>
      <Value>1</Value>
    </TaxCatchAll>
    <IMF_C0_Distribution xmlns="391a2f22-9f1b-4edd-a10b-257ace2d067d">EASA</IMF_C0_Distribution>
    <IMF_RC_RefDocumentLib xmlns="6E10281A-CD3A-4F0C-9B7D-A2009929208B" xsi:nil="true"/>
    <IMF_RC_RefDocumentSet xmlns="6E10281A-CD3A-4F0C-9B7D-A2009929208B" xsi:nil="true"/>
    <IMF_RC_RefDocumentInfo xmlns="6E10281A-CD3A-4F0C-9B7D-A2009929208B" xsi:nil="true"/>
    <IMF_C0_Description xmlns="391a2f22-9f1b-4edd-a10b-257ace2d067d" xsi:nil="true"/>
    <IMF_C0_TaxonomyTaxHTField0 xmlns="720140C3-6DF4-409B-A1F7-429D32417DCA">
      <Terms xmlns="http://schemas.microsoft.com/office/infopath/2007/PartnerControls">
        <TermInfo xmlns="http://schemas.microsoft.com/office/infopath/2007/PartnerControls">
          <TermName xmlns="http://schemas.microsoft.com/office/infopath/2007/PartnerControls">Safety programming and monitoring</TermName>
          <TermId xmlns="http://schemas.microsoft.com/office/infopath/2007/PartnerControls">9525b9c4-0559-4ebb-bd8d-cf837ccaaaf0</TermId>
        </TermInfo>
      </Terms>
    </IMF_C0_TaxonomyTaxHTField0>
    <TaxKeywordTaxHTField xmlns="391a2f22-9f1b-4edd-a10b-257ace2d067d">
      <Terms xmlns="http://schemas.microsoft.com/office/infopath/2007/PartnerControls"/>
    </TaxKeywordTaxHTField>
    <_dlc_DocId xmlns="391a2f22-9f1b-4edd-a10b-257ace2d067d">EASASFPRG-250447509-817</_dlc_DocId>
    <_dlc_DocIdUrl xmlns="391a2f22-9f1b-4edd-a10b-257ace2d067d">
      <Url>https://dms.easa.europa.eu/case/sfprg/_layouts/15/DocIdRedir.aspx?ID=EASASFPRG-250447509-817</Url>
      <Description>EASASFPRG-250447509-817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Receiver>
    <Name>CopyVersionInformation ItemAdded</Name>
    <Synchronization>Synchronous</Synchronization>
    <Type>10001</Type>
    <SequenceNumber>40100</SequenceNumber>
    <Url/>
    <Assembly>EASA.BA.IMF.RC.Core.Application, Version=1.0.0.0, Culture=neutral, PublicKeyToken=a01c64e5cd1f2deb</Assembly>
    <Class>EASA.BA.IMF.RC.Core.Application.EventReceivers.CopyVersionInformation</Class>
    <Data/>
    <Filter/>
  </Receiver>
  <Receiver>
    <Name>CopyVersionInformation ItemUpdated</Name>
    <Synchronization>Synchronous</Synchronization>
    <Type>10002</Type>
    <SequenceNumber>40100</SequenceNumber>
    <Url/>
    <Assembly>EASA.BA.IMF.RC.Core.Application, Version=1.0.0.0, Culture=neutral, PublicKeyToken=a01c64e5cd1f2deb</Assembly>
    <Class>EASA.BA.IMF.RC.Core.Application.EventReceivers.CopyVersionInformation</Class>
    <Data/>
    <Filter/>
  </Receiver>
  <Receiver>
    <Name>CopyVersionInformation ItemCheckedIn</Name>
    <Synchronization>Synchronous</Synchronization>
    <Type>10004</Type>
    <SequenceNumber>40100</SequenceNumber>
    <Url/>
    <Assembly>EASA.BA.IMF.RC.Core.Application, Version=1.0.0.0, Culture=neutral, PublicKeyToken=a01c64e5cd1f2deb</Assembly>
    <Class>EASA.BA.IMF.RC.Core.Application.EventReceivers.CopyVersionInformation</Class>
    <Data/>
    <Filter/>
  </Receiver>
  <Receiver>
    <Name>CopyToRecordsCenter ItemUpdated</Name>
    <Synchronization>Asynchronous</Synchronization>
    <Type>10002</Type>
    <SequenceNumber>40110</SequenceNumber>
    <Url/>
    <Assembly>EASA.BA.IMF.RC.Core.Application, Version=1.0.0.0, Culture=neutral, PublicKeyToken=a01c64e5cd1f2deb</Assembly>
    <Class>EASA.BA.IMF.RC.Core.Application.EventReceivers.CopyToRecordsCenter</Class>
    <Data/>
    <Filter/>
  </Receiver>
</spe:Receivers>
</file>

<file path=customXml/itemProps1.xml><?xml version="1.0" encoding="utf-8"?>
<ds:datastoreItem xmlns:ds="http://schemas.openxmlformats.org/officeDocument/2006/customXml" ds:itemID="{2C8C62FB-8EFB-46B4-A18D-F51F1873B49B}">
  <ds:schemaRefs>
    <ds:schemaRef ds:uri="Microsoft.SharePoint.Taxonomy.ContentTypeSync"/>
  </ds:schemaRefs>
</ds:datastoreItem>
</file>

<file path=customXml/itemProps2.xml><?xml version="1.0" encoding="utf-8"?>
<ds:datastoreItem xmlns:ds="http://schemas.openxmlformats.org/officeDocument/2006/customXml" ds:itemID="{F6D1C6D7-24FE-4499-A4ED-CFCEFCFA6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a2f22-9f1b-4edd-a10b-257ace2d067d"/>
    <ds:schemaRef ds:uri="720140C3-6DF4-409B-A1F7-429D32417DCA"/>
    <ds:schemaRef ds:uri="6E10281A-CD3A-4F0C-9B7D-A2009929208B"/>
    <ds:schemaRef ds:uri="e8879246-bfc1-4b56-8f26-022543d6b0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800089-8ABE-4F71-811F-21817DB3AA95}">
  <ds:schemaRefs>
    <ds:schemaRef ds:uri="http://schemas.microsoft.com/sharepoint/v3/contenttype/forms"/>
  </ds:schemaRefs>
</ds:datastoreItem>
</file>

<file path=customXml/itemProps4.xml><?xml version="1.0" encoding="utf-8"?>
<ds:datastoreItem xmlns:ds="http://schemas.openxmlformats.org/officeDocument/2006/customXml" ds:itemID="{63B79CFD-D2E3-41BF-B4A7-017577DE73BA}">
  <ds:schemaRefs>
    <ds:schemaRef ds:uri="http://schemas.openxmlformats.org/officeDocument/2006/bibliography"/>
  </ds:schemaRefs>
</ds:datastoreItem>
</file>

<file path=customXml/itemProps5.xml><?xml version="1.0" encoding="utf-8"?>
<ds:datastoreItem xmlns:ds="http://schemas.openxmlformats.org/officeDocument/2006/customXml" ds:itemID="{6FB984E5-DEB3-41CD-A556-17056120C2B7}">
  <ds:schemaRefs>
    <ds:schemaRef ds:uri="http://schemas.microsoft.com/office/2006/metadata/properties"/>
    <ds:schemaRef ds:uri="http://schemas.microsoft.com/office/infopath/2007/PartnerControls"/>
    <ds:schemaRef ds:uri="391a2f22-9f1b-4edd-a10b-257ace2d067d"/>
    <ds:schemaRef ds:uri="6E10281A-CD3A-4F0C-9B7D-A2009929208B"/>
    <ds:schemaRef ds:uri="e8879246-bfc1-4b56-8f26-022543d6b024"/>
    <ds:schemaRef ds:uri="720140C3-6DF4-409B-A1F7-429D32417DCA"/>
  </ds:schemaRefs>
</ds:datastoreItem>
</file>

<file path=customXml/itemProps6.xml><?xml version="1.0" encoding="utf-8"?>
<ds:datastoreItem xmlns:ds="http://schemas.openxmlformats.org/officeDocument/2006/customXml" ds:itemID="{42BDBD69-EEC2-4BAB-BAE2-9DA1939BF3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11333</Words>
  <Characters>64600</Characters>
  <Application>Microsoft Office Word</Application>
  <DocSecurity>0</DocSecurity>
  <Lines>538</Lines>
  <Paragraphs>151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Global and Regional Plans</vt:lpstr>
      <vt:lpstr>Global and Regional Plans</vt:lpstr>
    </vt:vector>
  </TitlesOfParts>
  <Company>European Aviation Safety Agency</Company>
  <LinksUpToDate>false</LinksUpToDate>
  <CharactersWithSpaces>75782</CharactersWithSpaces>
  <SharedDoc>false</SharedDoc>
  <HLinks>
    <vt:vector size="138" baseType="variant">
      <vt:variant>
        <vt:i4>1179697</vt:i4>
      </vt:variant>
      <vt:variant>
        <vt:i4>134</vt:i4>
      </vt:variant>
      <vt:variant>
        <vt:i4>0</vt:i4>
      </vt:variant>
      <vt:variant>
        <vt:i4>5</vt:i4>
      </vt:variant>
      <vt:variant>
        <vt:lpwstr/>
      </vt:variant>
      <vt:variant>
        <vt:lpwstr>_Toc292195888</vt:lpwstr>
      </vt:variant>
      <vt:variant>
        <vt:i4>1179697</vt:i4>
      </vt:variant>
      <vt:variant>
        <vt:i4>128</vt:i4>
      </vt:variant>
      <vt:variant>
        <vt:i4>0</vt:i4>
      </vt:variant>
      <vt:variant>
        <vt:i4>5</vt:i4>
      </vt:variant>
      <vt:variant>
        <vt:lpwstr/>
      </vt:variant>
      <vt:variant>
        <vt:lpwstr>_Toc292195887</vt:lpwstr>
      </vt:variant>
      <vt:variant>
        <vt:i4>1179697</vt:i4>
      </vt:variant>
      <vt:variant>
        <vt:i4>122</vt:i4>
      </vt:variant>
      <vt:variant>
        <vt:i4>0</vt:i4>
      </vt:variant>
      <vt:variant>
        <vt:i4>5</vt:i4>
      </vt:variant>
      <vt:variant>
        <vt:lpwstr/>
      </vt:variant>
      <vt:variant>
        <vt:lpwstr>_Toc292195886</vt:lpwstr>
      </vt:variant>
      <vt:variant>
        <vt:i4>1179697</vt:i4>
      </vt:variant>
      <vt:variant>
        <vt:i4>116</vt:i4>
      </vt:variant>
      <vt:variant>
        <vt:i4>0</vt:i4>
      </vt:variant>
      <vt:variant>
        <vt:i4>5</vt:i4>
      </vt:variant>
      <vt:variant>
        <vt:lpwstr/>
      </vt:variant>
      <vt:variant>
        <vt:lpwstr>_Toc292195885</vt:lpwstr>
      </vt:variant>
      <vt:variant>
        <vt:i4>1179697</vt:i4>
      </vt:variant>
      <vt:variant>
        <vt:i4>110</vt:i4>
      </vt:variant>
      <vt:variant>
        <vt:i4>0</vt:i4>
      </vt:variant>
      <vt:variant>
        <vt:i4>5</vt:i4>
      </vt:variant>
      <vt:variant>
        <vt:lpwstr/>
      </vt:variant>
      <vt:variant>
        <vt:lpwstr>_Toc292195884</vt:lpwstr>
      </vt:variant>
      <vt:variant>
        <vt:i4>1179697</vt:i4>
      </vt:variant>
      <vt:variant>
        <vt:i4>104</vt:i4>
      </vt:variant>
      <vt:variant>
        <vt:i4>0</vt:i4>
      </vt:variant>
      <vt:variant>
        <vt:i4>5</vt:i4>
      </vt:variant>
      <vt:variant>
        <vt:lpwstr/>
      </vt:variant>
      <vt:variant>
        <vt:lpwstr>_Toc292195883</vt:lpwstr>
      </vt:variant>
      <vt:variant>
        <vt:i4>1179697</vt:i4>
      </vt:variant>
      <vt:variant>
        <vt:i4>98</vt:i4>
      </vt:variant>
      <vt:variant>
        <vt:i4>0</vt:i4>
      </vt:variant>
      <vt:variant>
        <vt:i4>5</vt:i4>
      </vt:variant>
      <vt:variant>
        <vt:lpwstr/>
      </vt:variant>
      <vt:variant>
        <vt:lpwstr>_Toc292195882</vt:lpwstr>
      </vt:variant>
      <vt:variant>
        <vt:i4>1179697</vt:i4>
      </vt:variant>
      <vt:variant>
        <vt:i4>92</vt:i4>
      </vt:variant>
      <vt:variant>
        <vt:i4>0</vt:i4>
      </vt:variant>
      <vt:variant>
        <vt:i4>5</vt:i4>
      </vt:variant>
      <vt:variant>
        <vt:lpwstr/>
      </vt:variant>
      <vt:variant>
        <vt:lpwstr>_Toc292195881</vt:lpwstr>
      </vt:variant>
      <vt:variant>
        <vt:i4>1179697</vt:i4>
      </vt:variant>
      <vt:variant>
        <vt:i4>86</vt:i4>
      </vt:variant>
      <vt:variant>
        <vt:i4>0</vt:i4>
      </vt:variant>
      <vt:variant>
        <vt:i4>5</vt:i4>
      </vt:variant>
      <vt:variant>
        <vt:lpwstr/>
      </vt:variant>
      <vt:variant>
        <vt:lpwstr>_Toc292195880</vt:lpwstr>
      </vt:variant>
      <vt:variant>
        <vt:i4>1900593</vt:i4>
      </vt:variant>
      <vt:variant>
        <vt:i4>80</vt:i4>
      </vt:variant>
      <vt:variant>
        <vt:i4>0</vt:i4>
      </vt:variant>
      <vt:variant>
        <vt:i4>5</vt:i4>
      </vt:variant>
      <vt:variant>
        <vt:lpwstr/>
      </vt:variant>
      <vt:variant>
        <vt:lpwstr>_Toc292195879</vt:lpwstr>
      </vt:variant>
      <vt:variant>
        <vt:i4>1900593</vt:i4>
      </vt:variant>
      <vt:variant>
        <vt:i4>74</vt:i4>
      </vt:variant>
      <vt:variant>
        <vt:i4>0</vt:i4>
      </vt:variant>
      <vt:variant>
        <vt:i4>5</vt:i4>
      </vt:variant>
      <vt:variant>
        <vt:lpwstr/>
      </vt:variant>
      <vt:variant>
        <vt:lpwstr>_Toc292195878</vt:lpwstr>
      </vt:variant>
      <vt:variant>
        <vt:i4>1900593</vt:i4>
      </vt:variant>
      <vt:variant>
        <vt:i4>68</vt:i4>
      </vt:variant>
      <vt:variant>
        <vt:i4>0</vt:i4>
      </vt:variant>
      <vt:variant>
        <vt:i4>5</vt:i4>
      </vt:variant>
      <vt:variant>
        <vt:lpwstr/>
      </vt:variant>
      <vt:variant>
        <vt:lpwstr>_Toc292195877</vt:lpwstr>
      </vt:variant>
      <vt:variant>
        <vt:i4>1900593</vt:i4>
      </vt:variant>
      <vt:variant>
        <vt:i4>62</vt:i4>
      </vt:variant>
      <vt:variant>
        <vt:i4>0</vt:i4>
      </vt:variant>
      <vt:variant>
        <vt:i4>5</vt:i4>
      </vt:variant>
      <vt:variant>
        <vt:lpwstr/>
      </vt:variant>
      <vt:variant>
        <vt:lpwstr>_Toc292195876</vt:lpwstr>
      </vt:variant>
      <vt:variant>
        <vt:i4>1900593</vt:i4>
      </vt:variant>
      <vt:variant>
        <vt:i4>56</vt:i4>
      </vt:variant>
      <vt:variant>
        <vt:i4>0</vt:i4>
      </vt:variant>
      <vt:variant>
        <vt:i4>5</vt:i4>
      </vt:variant>
      <vt:variant>
        <vt:lpwstr/>
      </vt:variant>
      <vt:variant>
        <vt:lpwstr>_Toc292195875</vt:lpwstr>
      </vt:variant>
      <vt:variant>
        <vt:i4>1900593</vt:i4>
      </vt:variant>
      <vt:variant>
        <vt:i4>50</vt:i4>
      </vt:variant>
      <vt:variant>
        <vt:i4>0</vt:i4>
      </vt:variant>
      <vt:variant>
        <vt:i4>5</vt:i4>
      </vt:variant>
      <vt:variant>
        <vt:lpwstr/>
      </vt:variant>
      <vt:variant>
        <vt:lpwstr>_Toc292195874</vt:lpwstr>
      </vt:variant>
      <vt:variant>
        <vt:i4>1900593</vt:i4>
      </vt:variant>
      <vt:variant>
        <vt:i4>44</vt:i4>
      </vt:variant>
      <vt:variant>
        <vt:i4>0</vt:i4>
      </vt:variant>
      <vt:variant>
        <vt:i4>5</vt:i4>
      </vt:variant>
      <vt:variant>
        <vt:lpwstr/>
      </vt:variant>
      <vt:variant>
        <vt:lpwstr>_Toc292195873</vt:lpwstr>
      </vt:variant>
      <vt:variant>
        <vt:i4>1900593</vt:i4>
      </vt:variant>
      <vt:variant>
        <vt:i4>38</vt:i4>
      </vt:variant>
      <vt:variant>
        <vt:i4>0</vt:i4>
      </vt:variant>
      <vt:variant>
        <vt:i4>5</vt:i4>
      </vt:variant>
      <vt:variant>
        <vt:lpwstr/>
      </vt:variant>
      <vt:variant>
        <vt:lpwstr>_Toc292195872</vt:lpwstr>
      </vt:variant>
      <vt:variant>
        <vt:i4>1900593</vt:i4>
      </vt:variant>
      <vt:variant>
        <vt:i4>32</vt:i4>
      </vt:variant>
      <vt:variant>
        <vt:i4>0</vt:i4>
      </vt:variant>
      <vt:variant>
        <vt:i4>5</vt:i4>
      </vt:variant>
      <vt:variant>
        <vt:lpwstr/>
      </vt:variant>
      <vt:variant>
        <vt:lpwstr>_Toc292195871</vt:lpwstr>
      </vt:variant>
      <vt:variant>
        <vt:i4>1900593</vt:i4>
      </vt:variant>
      <vt:variant>
        <vt:i4>26</vt:i4>
      </vt:variant>
      <vt:variant>
        <vt:i4>0</vt:i4>
      </vt:variant>
      <vt:variant>
        <vt:i4>5</vt:i4>
      </vt:variant>
      <vt:variant>
        <vt:lpwstr/>
      </vt:variant>
      <vt:variant>
        <vt:lpwstr>_Toc292195870</vt:lpwstr>
      </vt:variant>
      <vt:variant>
        <vt:i4>1835057</vt:i4>
      </vt:variant>
      <vt:variant>
        <vt:i4>20</vt:i4>
      </vt:variant>
      <vt:variant>
        <vt:i4>0</vt:i4>
      </vt:variant>
      <vt:variant>
        <vt:i4>5</vt:i4>
      </vt:variant>
      <vt:variant>
        <vt:lpwstr/>
      </vt:variant>
      <vt:variant>
        <vt:lpwstr>_Toc292195869</vt:lpwstr>
      </vt:variant>
      <vt:variant>
        <vt:i4>1835057</vt:i4>
      </vt:variant>
      <vt:variant>
        <vt:i4>14</vt:i4>
      </vt:variant>
      <vt:variant>
        <vt:i4>0</vt:i4>
      </vt:variant>
      <vt:variant>
        <vt:i4>5</vt:i4>
      </vt:variant>
      <vt:variant>
        <vt:lpwstr/>
      </vt:variant>
      <vt:variant>
        <vt:lpwstr>_Toc292195868</vt:lpwstr>
      </vt:variant>
      <vt:variant>
        <vt:i4>1835057</vt:i4>
      </vt:variant>
      <vt:variant>
        <vt:i4>8</vt:i4>
      </vt:variant>
      <vt:variant>
        <vt:i4>0</vt:i4>
      </vt:variant>
      <vt:variant>
        <vt:i4>5</vt:i4>
      </vt:variant>
      <vt:variant>
        <vt:lpwstr/>
      </vt:variant>
      <vt:variant>
        <vt:lpwstr>_Toc292195867</vt:lpwstr>
      </vt:variant>
      <vt:variant>
        <vt:i4>2228332</vt:i4>
      </vt:variant>
      <vt:variant>
        <vt:i4>3</vt:i4>
      </vt:variant>
      <vt:variant>
        <vt:i4>0</vt:i4>
      </vt:variant>
      <vt:variant>
        <vt:i4>5</vt:i4>
      </vt:variant>
      <vt:variant>
        <vt:lpwstr>http://www.easa.europa.eu/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and Regional Plans</dc:title>
  <dc:creator>PRATA Cristina Gabriela</dc:creator>
  <cp:lastModifiedBy>Hofstetter, Isabelle</cp:lastModifiedBy>
  <cp:revision>12</cp:revision>
  <cp:lastPrinted>2021-11-12T17:57:00Z</cp:lastPrinted>
  <dcterms:created xsi:type="dcterms:W3CDTF">2025-11-27T13:32:00Z</dcterms:created>
  <dcterms:modified xsi:type="dcterms:W3CDTF">2025-12-02T14:12:00Z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0x010100A14FE9BE6CE84F1BB23C774EC08C4AEA073A00491E9A3B3B56E24BBD4EAF49F9A92954</vt:lpwstr>
  </property>
  <property fmtid="{D5CDD505-2E9C-101B-9397-08002B2CF9AE}" pid="3" name="IMF_C0_Taxonomy">
    <vt:lpwstr>2;#Safety programming and monitoring|9525b9c4-0559-4ebb-bd8d-cf837ccaaaf0</vt:lpwstr>
  </property>
  <property fmtid="{D5CDD505-2E9C-101B-9397-08002B2CF9AE}" pid="4" name="TaxKeyword">
    <vt:lpwstr/>
  </property>
  <property fmtid="{D5CDD505-2E9C-101B-9397-08002B2CF9AE}" pid="5" name="IMF_C53_IAMEDomainTaxHTField0">
    <vt:lpwstr>Other|c2c8ba02-d31d-4f3b-8a59-b4dedb9f9160</vt:lpwstr>
  </property>
  <property fmtid="{D5CDD505-2E9C-101B-9397-08002B2CF9AE}" pid="6" name="IMF_C53_IAMESvcLevTaxHTField0">
    <vt:lpwstr/>
  </property>
  <property fmtid="{D5CDD505-2E9C-101B-9397-08002B2CF9AE}" pid="7" name="IMF_C53_ProjectPhase">
    <vt:lpwstr/>
  </property>
  <property fmtid="{D5CDD505-2E9C-101B-9397-08002B2CF9AE}" pid="8" name="IMF_C53_IAMEDomain">
    <vt:lpwstr>101;#Other|c2c8ba02-d31d-4f3b-8a59-b4dedb9f9160</vt:lpwstr>
  </property>
  <property fmtid="{D5CDD505-2E9C-101B-9397-08002B2CF9AE}" pid="9" name="IMF_C53_IAMESvcLev">
    <vt:lpwstr/>
  </property>
  <property fmtid="{D5CDD505-2E9C-101B-9397-08002B2CF9AE}" pid="10" name="IMF_C53_PIASubjectTaxHTField0">
    <vt:lpwstr/>
  </property>
  <property fmtid="{D5CDD505-2E9C-101B-9397-08002B2CF9AE}" pid="11" name="IMF_C53_PIASubject">
    <vt:lpwstr/>
  </property>
  <property fmtid="{D5CDD505-2E9C-101B-9397-08002B2CF9AE}" pid="12" name="IMF_C0_Source">
    <vt:lpwstr>1;#EASA|f2fd8376-381c-4ede-a9cd-0a84d06f4d45</vt:lpwstr>
  </property>
  <property fmtid="{D5CDD505-2E9C-101B-9397-08002B2CF9AE}" pid="13" name="IMF_C53_Topic">
    <vt:lpwstr/>
  </property>
  <property fmtid="{D5CDD505-2E9C-101B-9397-08002B2CF9AE}" pid="14" name="IMF_C53_TopicTaxHTField0">
    <vt:lpwstr/>
  </property>
  <property fmtid="{D5CDD505-2E9C-101B-9397-08002B2CF9AE}" pid="15" name="IMF_C53_ProjectPhaseTaxHTField0">
    <vt:lpwstr/>
  </property>
  <property fmtid="{D5CDD505-2E9C-101B-9397-08002B2CF9AE}" pid="16" name="IMF_C50_DomainTaxHTField0">
    <vt:lpwstr/>
  </property>
  <property fmtid="{D5CDD505-2E9C-101B-9397-08002B2CF9AE}" pid="17" name="IMF_C50_Domain">
    <vt:lpwstr/>
  </property>
  <property fmtid="{D5CDD505-2E9C-101B-9397-08002B2CF9AE}" pid="18" name="_dlc_DocIdItemGuid">
    <vt:lpwstr>cfd90086-29aa-49c2-aa12-1a1bd2762546</vt:lpwstr>
  </property>
</Properties>
</file>